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98A2B" w14:textId="77777777" w:rsidR="00CB34AB" w:rsidRDefault="00CB34AB" w:rsidP="00CB34AB">
      <w:pPr>
        <w:pStyle w:val="NoSpacing"/>
      </w:pPr>
    </w:p>
    <w:p w14:paraId="6D374EF3" w14:textId="3168C3F1" w:rsidR="00CB34AB" w:rsidRPr="00CB34AB" w:rsidRDefault="00CB34AB" w:rsidP="00CB34AB">
      <w:pPr>
        <w:pStyle w:val="NormalWeb"/>
        <w:shd w:val="clear" w:color="auto" w:fill="FFFFFF"/>
        <w:spacing w:before="80" w:beforeAutospacing="0" w:after="240" w:afterAutospacing="0"/>
        <w:jc w:val="center"/>
        <w:rPr>
          <w:rFonts w:asciiTheme="minorHAnsi" w:hAnsiTheme="minorHAnsi" w:cs="Calibri"/>
          <w:color w:val="222222"/>
          <w:sz w:val="32"/>
          <w:szCs w:val="32"/>
        </w:rPr>
      </w:pPr>
      <w:r w:rsidRPr="00CB34AB">
        <w:rPr>
          <w:rFonts w:asciiTheme="minorHAnsi" w:hAnsiTheme="minorHAnsi" w:cs="Calibri"/>
          <w:color w:val="222222"/>
          <w:sz w:val="32"/>
          <w:szCs w:val="32"/>
        </w:rPr>
        <w:t>Maryland SAFE Information &amp; Resources</w:t>
      </w:r>
    </w:p>
    <w:p w14:paraId="27243CFD" w14:textId="7DA01873" w:rsidR="00973304" w:rsidRPr="005F5685" w:rsidRDefault="009056D1" w:rsidP="00CB34AB">
      <w:pPr>
        <w:pStyle w:val="NormalWeb"/>
        <w:shd w:val="clear" w:color="auto" w:fill="FFFFFF"/>
        <w:spacing w:before="80" w:beforeAutospacing="0" w:after="80" w:afterAutospacing="0"/>
        <w:rPr>
          <w:rFonts w:asciiTheme="minorHAnsi" w:hAnsiTheme="minorHAnsi" w:cs="Calibri"/>
          <w:i/>
          <w:iCs/>
          <w:color w:val="222222"/>
          <w:sz w:val="22"/>
          <w:szCs w:val="22"/>
        </w:rPr>
      </w:pPr>
      <w:r w:rsidRPr="00853CD8">
        <w:rPr>
          <w:rFonts w:asciiTheme="minorHAnsi" w:hAnsiTheme="minorHAnsi" w:cs="Calibri"/>
          <w:color w:val="222222"/>
          <w:sz w:val="22"/>
          <w:szCs w:val="22"/>
        </w:rPr>
        <w:t xml:space="preserve">This document provides an overview of national and state best practice recommendations for sexual assault forensic exams (SAFEs). The policies and protocols listed in this document are extensive and comprehensive. If you are looking for specific information regarding SAFE policies, or need assistance locating best practices, please feel free to contact MCASA’s subject matter experts by emailing </w:t>
      </w:r>
      <w:hyperlink r:id="rId8" w:history="1">
        <w:r w:rsidRPr="00853CD8">
          <w:rPr>
            <w:rStyle w:val="Hyperlink"/>
            <w:rFonts w:asciiTheme="minorHAnsi" w:hAnsiTheme="minorHAnsi" w:cs="Calibri"/>
            <w:sz w:val="22"/>
            <w:szCs w:val="22"/>
          </w:rPr>
          <w:t>info@mcasa.org</w:t>
        </w:r>
      </w:hyperlink>
      <w:r w:rsidRPr="00853CD8">
        <w:rPr>
          <w:rFonts w:asciiTheme="minorHAnsi" w:hAnsiTheme="minorHAnsi" w:cs="Calibri"/>
          <w:color w:val="222222"/>
          <w:sz w:val="22"/>
          <w:szCs w:val="22"/>
        </w:rPr>
        <w:t>. The topic areas below have been discussed during previous Maryland Sexual Assault Victim Advocate Calls. If you</w:t>
      </w:r>
      <w:r w:rsidR="00853CD8" w:rsidRPr="00853CD8">
        <w:rPr>
          <w:rFonts w:asciiTheme="minorHAnsi" w:hAnsiTheme="minorHAnsi" w:cs="Calibri"/>
          <w:color w:val="222222"/>
          <w:sz w:val="22"/>
          <w:szCs w:val="22"/>
        </w:rPr>
        <w:t>,</w:t>
      </w:r>
      <w:r w:rsidRPr="00853CD8">
        <w:rPr>
          <w:rFonts w:asciiTheme="minorHAnsi" w:hAnsiTheme="minorHAnsi" w:cs="Calibri"/>
          <w:color w:val="222222"/>
          <w:sz w:val="22"/>
          <w:szCs w:val="22"/>
        </w:rPr>
        <w:t xml:space="preserve"> or your agency</w:t>
      </w:r>
      <w:r w:rsidR="00853CD8" w:rsidRPr="00853CD8">
        <w:rPr>
          <w:rFonts w:asciiTheme="minorHAnsi" w:hAnsiTheme="minorHAnsi" w:cs="Calibri"/>
          <w:color w:val="222222"/>
          <w:sz w:val="22"/>
          <w:szCs w:val="22"/>
        </w:rPr>
        <w:t>,</w:t>
      </w:r>
      <w:r w:rsidRPr="00853CD8">
        <w:rPr>
          <w:rFonts w:asciiTheme="minorHAnsi" w:hAnsiTheme="minorHAnsi" w:cs="Calibri"/>
          <w:color w:val="222222"/>
          <w:sz w:val="22"/>
          <w:szCs w:val="22"/>
        </w:rPr>
        <w:t xml:space="preserve"> provide advocacy services to survivors of sexual assault in Maryland and are interested in joining these weekly calls, please email </w:t>
      </w:r>
      <w:hyperlink r:id="rId9" w:history="1">
        <w:r w:rsidRPr="00853CD8">
          <w:rPr>
            <w:rStyle w:val="Hyperlink"/>
            <w:rFonts w:asciiTheme="minorHAnsi" w:hAnsiTheme="minorHAnsi" w:cs="Calibri"/>
            <w:sz w:val="22"/>
            <w:szCs w:val="22"/>
          </w:rPr>
          <w:t>collaborate@mcasa.org</w:t>
        </w:r>
      </w:hyperlink>
      <w:r w:rsidRPr="00853CD8">
        <w:rPr>
          <w:rFonts w:asciiTheme="minorHAnsi" w:hAnsiTheme="minorHAnsi" w:cs="Calibri"/>
          <w:color w:val="222222"/>
          <w:sz w:val="22"/>
          <w:szCs w:val="22"/>
        </w:rPr>
        <w:t xml:space="preserve"> to be added to the email list. </w:t>
      </w:r>
      <w:r w:rsidR="00973304">
        <w:rPr>
          <w:rFonts w:asciiTheme="minorHAnsi" w:hAnsiTheme="minorHAnsi" w:cs="Calibri"/>
          <w:i/>
          <w:iCs/>
          <w:color w:val="222222"/>
          <w:sz w:val="22"/>
          <w:szCs w:val="22"/>
        </w:rPr>
        <w:t xml:space="preserve">This document will be updated as appropriate. </w:t>
      </w:r>
    </w:p>
    <w:p w14:paraId="2C5A1597" w14:textId="77777777" w:rsidR="00CB34AB" w:rsidRDefault="00CB34AB" w:rsidP="005E5B02">
      <w:pPr>
        <w:pStyle w:val="NormalWeb"/>
        <w:shd w:val="clear" w:color="auto" w:fill="FFFFFF"/>
        <w:spacing w:before="80" w:beforeAutospacing="0" w:after="80" w:afterAutospacing="0"/>
      </w:pPr>
    </w:p>
    <w:p w14:paraId="54F3E0C8" w14:textId="4A78831C" w:rsidR="0068217E" w:rsidRDefault="000A7A25" w:rsidP="005E5B02">
      <w:pPr>
        <w:pStyle w:val="NormalWeb"/>
        <w:shd w:val="clear" w:color="auto" w:fill="FFFFFF"/>
        <w:spacing w:before="0" w:beforeAutospacing="0" w:after="0" w:afterAutospacing="0"/>
        <w:rPr>
          <w:rStyle w:val="Hyperlink"/>
          <w:rFonts w:asciiTheme="minorHAnsi" w:eastAsiaTheme="minorHAnsi" w:hAnsiTheme="minorHAnsi" w:cs="Arial"/>
          <w:b/>
          <w:bCs/>
          <w:sz w:val="22"/>
          <w:szCs w:val="22"/>
        </w:rPr>
      </w:pPr>
      <w:hyperlink r:id="rId10" w:tgtFrame="_blank" w:history="1">
        <w:r w:rsidR="0099668E" w:rsidRPr="005F5685">
          <w:rPr>
            <w:rStyle w:val="Hyperlink"/>
            <w:rFonts w:asciiTheme="minorHAnsi" w:hAnsiTheme="minorHAnsi" w:cs="Arial"/>
            <w:b/>
            <w:bCs/>
          </w:rPr>
          <w:t>National Protocol for Sexual Assault Medical Forensic Examinations: Adults/Adolescents</w:t>
        </w:r>
      </w:hyperlink>
    </w:p>
    <w:p w14:paraId="0C4AB599" w14:textId="1191DBED" w:rsidR="00943162" w:rsidRPr="005E5B02" w:rsidRDefault="00943162" w:rsidP="00853CD8">
      <w:pPr>
        <w:pStyle w:val="NormalWeb"/>
        <w:shd w:val="clear" w:color="auto" w:fill="FFFFFF"/>
        <w:spacing w:before="0" w:beforeAutospacing="0" w:after="0" w:afterAutospacing="0"/>
        <w:rPr>
          <w:rStyle w:val="Hyperlink"/>
          <w:rFonts w:asciiTheme="minorHAnsi" w:hAnsiTheme="minorHAnsi" w:cs="Arial"/>
          <w:color w:val="000000" w:themeColor="text1"/>
          <w:sz w:val="20"/>
          <w:szCs w:val="20"/>
          <w:u w:val="none"/>
        </w:rPr>
      </w:pPr>
      <w:r w:rsidRPr="005E5B02">
        <w:rPr>
          <w:rStyle w:val="Hyperlink"/>
          <w:rFonts w:asciiTheme="minorHAnsi" w:hAnsiTheme="minorHAnsi" w:cs="Arial"/>
          <w:color w:val="000000" w:themeColor="text1"/>
          <w:sz w:val="20"/>
          <w:szCs w:val="20"/>
          <w:u w:val="none"/>
        </w:rPr>
        <w:t>U.S. Department of Justice</w:t>
      </w:r>
    </w:p>
    <w:p w14:paraId="23AEBBDA" w14:textId="634CCFE0" w:rsidR="00943162" w:rsidRPr="005E5B02" w:rsidRDefault="00943162" w:rsidP="00853CD8">
      <w:pPr>
        <w:pStyle w:val="NormalWeb"/>
        <w:shd w:val="clear" w:color="auto" w:fill="FFFFFF"/>
        <w:spacing w:before="0" w:beforeAutospacing="0" w:after="0" w:afterAutospacing="0"/>
        <w:rPr>
          <w:rStyle w:val="Hyperlink"/>
          <w:rFonts w:asciiTheme="minorHAnsi" w:hAnsiTheme="minorHAnsi" w:cs="Arial"/>
          <w:color w:val="000000" w:themeColor="text1"/>
          <w:sz w:val="20"/>
          <w:szCs w:val="20"/>
          <w:u w:val="none"/>
        </w:rPr>
      </w:pPr>
      <w:r w:rsidRPr="005E5B02">
        <w:rPr>
          <w:rStyle w:val="Hyperlink"/>
          <w:rFonts w:asciiTheme="minorHAnsi" w:hAnsiTheme="minorHAnsi" w:cs="Arial"/>
          <w:color w:val="000000" w:themeColor="text1"/>
          <w:sz w:val="20"/>
          <w:szCs w:val="20"/>
          <w:u w:val="none"/>
        </w:rPr>
        <w:t>Office on Violence Against Women</w:t>
      </w:r>
    </w:p>
    <w:p w14:paraId="14CFB2BF" w14:textId="714B6061" w:rsidR="00943162" w:rsidRPr="005E5B02" w:rsidRDefault="00943162" w:rsidP="00853CD8">
      <w:pPr>
        <w:pStyle w:val="NormalWeb"/>
        <w:shd w:val="clear" w:color="auto" w:fill="FFFFFF"/>
        <w:spacing w:before="0" w:beforeAutospacing="0" w:after="0" w:afterAutospacing="0"/>
        <w:rPr>
          <w:rStyle w:val="Hyperlink"/>
          <w:rFonts w:asciiTheme="minorHAnsi" w:hAnsiTheme="minorHAnsi" w:cs="Arial"/>
          <w:color w:val="000000" w:themeColor="text1"/>
          <w:sz w:val="20"/>
          <w:szCs w:val="20"/>
          <w:u w:val="none"/>
        </w:rPr>
      </w:pPr>
      <w:r w:rsidRPr="005E5B02">
        <w:rPr>
          <w:rStyle w:val="Hyperlink"/>
          <w:rFonts w:asciiTheme="minorHAnsi" w:hAnsiTheme="minorHAnsi" w:cs="Arial"/>
          <w:color w:val="000000" w:themeColor="text1"/>
          <w:sz w:val="20"/>
          <w:szCs w:val="20"/>
          <w:u w:val="none"/>
        </w:rPr>
        <w:t>April 2013 NCJ 228119</w:t>
      </w:r>
    </w:p>
    <w:p w14:paraId="7C083666" w14:textId="29AFA9F0" w:rsidR="0099668E" w:rsidRDefault="00943162" w:rsidP="005F5685">
      <w:pPr>
        <w:pStyle w:val="NormalWeb"/>
        <w:shd w:val="clear" w:color="auto" w:fill="FFFFFF"/>
        <w:spacing w:before="140" w:beforeAutospacing="0" w:after="140" w:afterAutospacing="0"/>
        <w:rPr>
          <w:rFonts w:asciiTheme="minorHAnsi" w:hAnsiTheme="minorHAnsi" w:cs="Calibri"/>
          <w:color w:val="222222"/>
          <w:sz w:val="22"/>
          <w:szCs w:val="22"/>
        </w:rPr>
      </w:pPr>
      <w:r>
        <w:rPr>
          <w:rFonts w:asciiTheme="minorHAnsi" w:hAnsiTheme="minorHAnsi" w:cs="Calibri"/>
          <w:color w:val="222222"/>
          <w:sz w:val="22"/>
          <w:szCs w:val="22"/>
        </w:rPr>
        <w:t xml:space="preserve">This protocol provides detailed guidelines for criminal justice and health care professionals responding to the immediate needs of sexual assault survivors. The protocol addresses a myriad of topics including the provision of victim-centered sexual assault forensic exams that prioritize both the collection of evidence with state-of-the-art techniques and the sensitive and trauma-informed treatment of survivors seeking care. Topics include, but are not limited to, victim-centered care, informed consent, confidentiality, timing considerations for collecting evidence, initial contact, exam and evidence collection procedures, discharge and follow-up, and examiner court appearances. </w:t>
      </w:r>
    </w:p>
    <w:p w14:paraId="41FF35F7" w14:textId="7145F357" w:rsidR="00943162" w:rsidRPr="0068217E" w:rsidRDefault="00943162" w:rsidP="005F5685">
      <w:pPr>
        <w:pStyle w:val="NormalWeb"/>
        <w:shd w:val="clear" w:color="auto" w:fill="FFFFFF"/>
        <w:spacing w:before="140" w:beforeAutospacing="0" w:after="140" w:afterAutospacing="0"/>
        <w:rPr>
          <w:rFonts w:asciiTheme="minorHAnsi" w:hAnsiTheme="minorHAnsi" w:cs="Calibri"/>
          <w:color w:val="222222"/>
          <w:sz w:val="22"/>
          <w:szCs w:val="22"/>
        </w:rPr>
      </w:pPr>
      <w:r>
        <w:rPr>
          <w:rFonts w:asciiTheme="minorHAnsi" w:hAnsiTheme="minorHAnsi" w:cs="Calibri"/>
          <w:color w:val="222222"/>
          <w:sz w:val="22"/>
          <w:szCs w:val="22"/>
        </w:rPr>
        <w:t xml:space="preserve">Below you will find essential information regarding the timely response to survivors seeking medical forensic care and medical services including STI and pregnancy testing, emergency contraception, and prophylaxis treatment. </w:t>
      </w:r>
    </w:p>
    <w:p w14:paraId="188E5497" w14:textId="05F27FA0" w:rsidR="0099668E" w:rsidRPr="005F5685" w:rsidRDefault="0099668E" w:rsidP="00F34564">
      <w:pPr>
        <w:pStyle w:val="NormalWeb"/>
        <w:shd w:val="clear" w:color="auto" w:fill="FFFFFF"/>
        <w:spacing w:before="80" w:beforeAutospacing="0" w:after="80" w:afterAutospacing="0"/>
        <w:rPr>
          <w:rFonts w:asciiTheme="minorHAnsi" w:hAnsiTheme="minorHAnsi" w:cs="Calibri"/>
          <w:color w:val="222222"/>
          <w:sz w:val="22"/>
          <w:szCs w:val="22"/>
          <w:u w:val="single"/>
        </w:rPr>
      </w:pPr>
      <w:r w:rsidRPr="005F5685">
        <w:rPr>
          <w:rFonts w:asciiTheme="minorHAnsi" w:hAnsiTheme="minorHAnsi" w:cs="Calibri"/>
          <w:color w:val="222222"/>
          <w:sz w:val="22"/>
          <w:szCs w:val="22"/>
          <w:u w:val="single"/>
        </w:rPr>
        <w:t>Triage and Intake (pg. 83-84)</w:t>
      </w:r>
    </w:p>
    <w:p w14:paraId="4316E236" w14:textId="73CE5D28" w:rsidR="0099668E" w:rsidRPr="005F5685" w:rsidRDefault="00115CB9" w:rsidP="00F34564">
      <w:pPr>
        <w:pStyle w:val="NormalWeb"/>
        <w:numPr>
          <w:ilvl w:val="0"/>
          <w:numId w:val="1"/>
        </w:numPr>
        <w:shd w:val="clear" w:color="auto" w:fill="FFFFFF"/>
        <w:spacing w:before="80" w:beforeAutospacing="0" w:after="80" w:afterAutospacing="0"/>
        <w:rPr>
          <w:rFonts w:asciiTheme="minorHAnsi" w:hAnsiTheme="minorHAnsi" w:cs="Calibri"/>
          <w:color w:val="222222"/>
          <w:sz w:val="22"/>
          <w:szCs w:val="22"/>
        </w:rPr>
      </w:pPr>
      <w:r w:rsidRPr="005F5685">
        <w:rPr>
          <w:rFonts w:asciiTheme="minorHAnsi" w:hAnsiTheme="minorHAnsi" w:cs="Calibri"/>
          <w:color w:val="222222"/>
          <w:sz w:val="22"/>
          <w:szCs w:val="22"/>
        </w:rPr>
        <w:t>“</w:t>
      </w:r>
      <w:r w:rsidR="0099668E" w:rsidRPr="005F5685">
        <w:rPr>
          <w:rFonts w:asciiTheme="minorHAnsi" w:hAnsiTheme="minorHAnsi" w:cs="Calibri"/>
          <w:color w:val="222222"/>
          <w:sz w:val="22"/>
          <w:szCs w:val="22"/>
        </w:rPr>
        <w:t xml:space="preserve">Consider sexual assault patients a </w:t>
      </w:r>
      <w:r w:rsidRPr="005F5685">
        <w:rPr>
          <w:rFonts w:asciiTheme="minorHAnsi" w:hAnsiTheme="minorHAnsi" w:cs="Calibri"/>
          <w:color w:val="222222"/>
          <w:sz w:val="22"/>
          <w:szCs w:val="22"/>
        </w:rPr>
        <w:t>priority.”</w:t>
      </w:r>
    </w:p>
    <w:p w14:paraId="5874A3F1" w14:textId="53DABB4B" w:rsidR="0099668E" w:rsidRPr="005F5685" w:rsidRDefault="00115CB9" w:rsidP="00F34564">
      <w:pPr>
        <w:pStyle w:val="NormalWeb"/>
        <w:numPr>
          <w:ilvl w:val="0"/>
          <w:numId w:val="1"/>
        </w:numPr>
        <w:shd w:val="clear" w:color="auto" w:fill="FFFFFF"/>
        <w:spacing w:before="80" w:beforeAutospacing="0" w:after="80" w:afterAutospacing="0"/>
        <w:rPr>
          <w:rFonts w:asciiTheme="minorHAnsi" w:hAnsiTheme="minorHAnsi" w:cs="Calibri"/>
          <w:color w:val="222222"/>
          <w:sz w:val="22"/>
          <w:szCs w:val="22"/>
        </w:rPr>
      </w:pPr>
      <w:r w:rsidRPr="005F5685">
        <w:rPr>
          <w:rFonts w:asciiTheme="minorHAnsi" w:hAnsiTheme="minorHAnsi" w:cs="Calibri"/>
          <w:color w:val="222222"/>
          <w:sz w:val="22"/>
          <w:szCs w:val="22"/>
        </w:rPr>
        <w:t>“</w:t>
      </w:r>
      <w:r w:rsidR="0099668E" w:rsidRPr="005F5685">
        <w:rPr>
          <w:rFonts w:asciiTheme="minorHAnsi" w:hAnsiTheme="minorHAnsi" w:cs="Calibri"/>
          <w:color w:val="222222"/>
          <w:sz w:val="22"/>
          <w:szCs w:val="22"/>
        </w:rPr>
        <w:t>Perform a prompt, competent medical assessment. Then respond to acute injury, the need for trauma care, and safety needs of the patients before collecting evidence.</w:t>
      </w:r>
      <w:r w:rsidRPr="005F5685">
        <w:rPr>
          <w:rFonts w:asciiTheme="minorHAnsi" w:hAnsiTheme="minorHAnsi" w:cs="Calibri"/>
          <w:color w:val="222222"/>
          <w:sz w:val="22"/>
          <w:szCs w:val="22"/>
        </w:rPr>
        <w:t>”</w:t>
      </w:r>
    </w:p>
    <w:p w14:paraId="4835D1F0" w14:textId="43B32C7B" w:rsidR="0099668E" w:rsidRPr="005F5685" w:rsidRDefault="0099668E" w:rsidP="00F34564">
      <w:pPr>
        <w:pStyle w:val="NormalWeb"/>
        <w:numPr>
          <w:ilvl w:val="1"/>
          <w:numId w:val="1"/>
        </w:numPr>
        <w:shd w:val="clear" w:color="auto" w:fill="FFFFFF"/>
        <w:spacing w:before="80" w:beforeAutospacing="0" w:after="80" w:afterAutospacing="0"/>
        <w:rPr>
          <w:rFonts w:asciiTheme="minorHAnsi" w:hAnsiTheme="minorHAnsi" w:cs="Calibri"/>
          <w:color w:val="222222"/>
          <w:sz w:val="22"/>
          <w:szCs w:val="22"/>
        </w:rPr>
      </w:pPr>
      <w:r w:rsidRPr="005F5685">
        <w:rPr>
          <w:rFonts w:asciiTheme="minorHAnsi" w:hAnsiTheme="minorHAnsi" w:cs="Calibri"/>
          <w:color w:val="222222"/>
          <w:sz w:val="22"/>
          <w:szCs w:val="22"/>
        </w:rPr>
        <w:t xml:space="preserve">“In addition to </w:t>
      </w:r>
      <w:r w:rsidR="00DC43CD" w:rsidRPr="005F5685">
        <w:rPr>
          <w:rFonts w:asciiTheme="minorHAnsi" w:hAnsiTheme="minorHAnsi" w:cs="Calibri"/>
          <w:color w:val="222222"/>
          <w:sz w:val="22"/>
          <w:szCs w:val="22"/>
        </w:rPr>
        <w:t>promoting</w:t>
      </w:r>
      <w:r w:rsidRPr="005F5685">
        <w:rPr>
          <w:rFonts w:asciiTheme="minorHAnsi" w:hAnsiTheme="minorHAnsi" w:cs="Calibri"/>
          <w:color w:val="222222"/>
          <w:sz w:val="22"/>
          <w:szCs w:val="22"/>
        </w:rPr>
        <w:t xml:space="preserve"> physical health, sensitive and timely medical care can help reduce the likelihood of acute psychological trauma and it’s aftereffects, support patients’ existing and emerging coping skills, and se</w:t>
      </w:r>
      <w:r w:rsidR="00DC43CD" w:rsidRPr="005F5685">
        <w:rPr>
          <w:rFonts w:asciiTheme="minorHAnsi" w:hAnsiTheme="minorHAnsi" w:cs="Calibri"/>
          <w:color w:val="222222"/>
          <w:sz w:val="22"/>
          <w:szCs w:val="22"/>
        </w:rPr>
        <w:t>t</w:t>
      </w:r>
      <w:r w:rsidRPr="005F5685">
        <w:rPr>
          <w:rFonts w:asciiTheme="minorHAnsi" w:hAnsiTheme="minorHAnsi" w:cs="Calibri"/>
          <w:color w:val="222222"/>
          <w:sz w:val="22"/>
          <w:szCs w:val="22"/>
        </w:rPr>
        <w:t xml:space="preserve"> the tone for the patients’ resumption of normal functioning.”</w:t>
      </w:r>
    </w:p>
    <w:p w14:paraId="45724D39" w14:textId="2180E53E" w:rsidR="0099668E" w:rsidRPr="005F5685" w:rsidRDefault="0099668E" w:rsidP="00F34564">
      <w:pPr>
        <w:pStyle w:val="NormalWeb"/>
        <w:numPr>
          <w:ilvl w:val="1"/>
          <w:numId w:val="1"/>
        </w:numPr>
        <w:shd w:val="clear" w:color="auto" w:fill="FFFFFF"/>
        <w:spacing w:before="80" w:beforeAutospacing="0" w:after="80" w:afterAutospacing="0"/>
        <w:rPr>
          <w:rFonts w:asciiTheme="minorHAnsi" w:hAnsiTheme="minorHAnsi" w:cs="Calibri"/>
          <w:color w:val="222222"/>
          <w:sz w:val="22"/>
          <w:szCs w:val="22"/>
        </w:rPr>
      </w:pPr>
      <w:r w:rsidRPr="005F5685">
        <w:rPr>
          <w:rFonts w:asciiTheme="minorHAnsi" w:hAnsiTheme="minorHAnsi" w:cs="Calibri"/>
          <w:color w:val="222222"/>
          <w:sz w:val="22"/>
          <w:szCs w:val="22"/>
        </w:rPr>
        <w:t>“Acute medical needs take precedence over evidentiary needs. Patients should be instructed to not wash, change clothes, urinate, defecate, smoke, drink or eat until initially evaluated by examiners, unless necessary for treating actual medical injuries.</w:t>
      </w:r>
      <w:r w:rsidR="00DC43CD" w:rsidRPr="005F5685">
        <w:rPr>
          <w:rFonts w:asciiTheme="minorHAnsi" w:hAnsiTheme="minorHAnsi" w:cs="Calibri"/>
          <w:color w:val="222222"/>
          <w:sz w:val="22"/>
          <w:szCs w:val="22"/>
        </w:rPr>
        <w:t>”</w:t>
      </w:r>
    </w:p>
    <w:p w14:paraId="6DCBDD1A" w14:textId="0E2A79D8" w:rsidR="0099668E" w:rsidRPr="005F5685" w:rsidRDefault="0099668E" w:rsidP="00F34564">
      <w:pPr>
        <w:pStyle w:val="NormalWeb"/>
        <w:numPr>
          <w:ilvl w:val="1"/>
          <w:numId w:val="1"/>
        </w:numPr>
        <w:shd w:val="clear" w:color="auto" w:fill="FFFFFF"/>
        <w:spacing w:before="80" w:beforeAutospacing="0" w:after="80" w:afterAutospacing="0"/>
        <w:rPr>
          <w:rFonts w:asciiTheme="minorHAnsi" w:hAnsiTheme="minorHAnsi" w:cs="Calibri"/>
          <w:color w:val="222222"/>
          <w:sz w:val="22"/>
          <w:szCs w:val="22"/>
        </w:rPr>
      </w:pPr>
      <w:r w:rsidRPr="005F5685">
        <w:rPr>
          <w:rFonts w:asciiTheme="minorHAnsi" w:hAnsiTheme="minorHAnsi" w:cs="Calibri"/>
          <w:color w:val="222222"/>
          <w:sz w:val="22"/>
          <w:szCs w:val="22"/>
        </w:rPr>
        <w:t xml:space="preserve">“Alter examiners of the need for their services. The SART/SARRT, if one exists, can work with exam facilitates to identify acceptable timeframes to conduct a medial forensic exam after a patient’s arrival and medical evaluation, management, and stabilization. If examiners are not based at the site or need to be dispatched, the facility should contact them immediately after identifying a sexual assault patient. </w:t>
      </w:r>
      <w:r w:rsidRPr="005F5685">
        <w:rPr>
          <w:rFonts w:asciiTheme="minorHAnsi" w:hAnsiTheme="minorHAnsi" w:cs="Calibri"/>
          <w:i/>
          <w:iCs/>
          <w:color w:val="222222"/>
          <w:sz w:val="22"/>
          <w:szCs w:val="22"/>
        </w:rPr>
        <w:t xml:space="preserve">Examiners are often required to arrive at the exam site within a certain </w:t>
      </w:r>
      <w:proofErr w:type="gramStart"/>
      <w:r w:rsidRPr="005F5685">
        <w:rPr>
          <w:rFonts w:asciiTheme="minorHAnsi" w:hAnsiTheme="minorHAnsi" w:cs="Calibri"/>
          <w:i/>
          <w:iCs/>
          <w:color w:val="222222"/>
          <w:sz w:val="22"/>
          <w:szCs w:val="22"/>
        </w:rPr>
        <w:t>period of time</w:t>
      </w:r>
      <w:proofErr w:type="gramEnd"/>
      <w:r w:rsidRPr="005F5685">
        <w:rPr>
          <w:rFonts w:asciiTheme="minorHAnsi" w:hAnsiTheme="minorHAnsi" w:cs="Calibri"/>
          <w:i/>
          <w:iCs/>
          <w:color w:val="222222"/>
          <w:sz w:val="22"/>
          <w:szCs w:val="22"/>
        </w:rPr>
        <w:t xml:space="preserve"> (e.g., 30 minutes) after being dispatched.</w:t>
      </w:r>
      <w:r w:rsidR="00DC43CD" w:rsidRPr="005F5685">
        <w:rPr>
          <w:rFonts w:asciiTheme="minorHAnsi" w:hAnsiTheme="minorHAnsi" w:cs="Calibri"/>
          <w:i/>
          <w:iCs/>
          <w:color w:val="222222"/>
          <w:sz w:val="22"/>
          <w:szCs w:val="22"/>
        </w:rPr>
        <w:t>”</w:t>
      </w:r>
    </w:p>
    <w:p w14:paraId="0E91060C" w14:textId="1AA0CD65" w:rsidR="00DC43CD" w:rsidRPr="005F5685" w:rsidRDefault="00DC43CD" w:rsidP="00F34564">
      <w:pPr>
        <w:pStyle w:val="NormalWeb"/>
        <w:numPr>
          <w:ilvl w:val="2"/>
          <w:numId w:val="1"/>
        </w:numPr>
        <w:shd w:val="clear" w:color="auto" w:fill="FFFFFF"/>
        <w:spacing w:before="80" w:beforeAutospacing="0" w:after="80" w:afterAutospacing="0"/>
        <w:rPr>
          <w:rFonts w:asciiTheme="minorHAnsi" w:hAnsiTheme="minorHAnsi" w:cs="Calibri"/>
          <w:color w:val="222222"/>
          <w:sz w:val="22"/>
          <w:szCs w:val="22"/>
        </w:rPr>
      </w:pPr>
      <w:r w:rsidRPr="005F5685">
        <w:rPr>
          <w:rFonts w:asciiTheme="minorHAnsi" w:hAnsiTheme="minorHAnsi" w:cs="Calibri"/>
          <w:color w:val="222222"/>
          <w:sz w:val="22"/>
          <w:szCs w:val="22"/>
        </w:rPr>
        <w:lastRenderedPageBreak/>
        <w:t xml:space="preserve">MCASA recognizes that each hospital and SAFE Program will have different levels of capacity to set a timeframe up. However, when determining an appropriate timeframe consideration of potential evidence degradation and trauma-informed and victim centered care should be considered. </w:t>
      </w:r>
    </w:p>
    <w:p w14:paraId="11B526AB" w14:textId="6658BA8D" w:rsidR="00115CB9" w:rsidRPr="005F5685" w:rsidRDefault="0099668E" w:rsidP="005F5685">
      <w:pPr>
        <w:pStyle w:val="NormalWeb"/>
        <w:shd w:val="clear" w:color="auto" w:fill="FFFFFF"/>
        <w:spacing w:before="140" w:beforeAutospacing="0" w:after="140" w:afterAutospacing="0"/>
        <w:rPr>
          <w:rFonts w:asciiTheme="minorHAnsi" w:hAnsiTheme="minorHAnsi" w:cs="Calibri"/>
          <w:color w:val="222222"/>
          <w:sz w:val="22"/>
          <w:szCs w:val="22"/>
          <w:u w:val="single"/>
        </w:rPr>
      </w:pPr>
      <w:r w:rsidRPr="005F5685">
        <w:rPr>
          <w:rFonts w:asciiTheme="minorHAnsi" w:hAnsiTheme="minorHAnsi" w:cs="Calibri"/>
          <w:color w:val="222222"/>
          <w:sz w:val="22"/>
          <w:szCs w:val="22"/>
          <w:u w:val="single"/>
        </w:rPr>
        <w:t>Victim-Centered Care (pg. 29-42)</w:t>
      </w:r>
    </w:p>
    <w:p w14:paraId="74F9B2F9" w14:textId="3658D1E6" w:rsidR="00115CB9" w:rsidRPr="005F5685" w:rsidRDefault="00115CB9" w:rsidP="005F5685">
      <w:pPr>
        <w:pStyle w:val="NormalWeb"/>
        <w:numPr>
          <w:ilvl w:val="0"/>
          <w:numId w:val="1"/>
        </w:numPr>
        <w:shd w:val="clear" w:color="auto" w:fill="FFFFFF"/>
        <w:spacing w:before="140" w:beforeAutospacing="0" w:after="140" w:afterAutospacing="0"/>
        <w:rPr>
          <w:rFonts w:asciiTheme="minorHAnsi" w:hAnsiTheme="minorHAnsi" w:cs="Calibri"/>
          <w:color w:val="222222"/>
          <w:sz w:val="22"/>
          <w:szCs w:val="22"/>
        </w:rPr>
      </w:pPr>
      <w:r w:rsidRPr="005F5685">
        <w:rPr>
          <w:rFonts w:asciiTheme="minorHAnsi" w:hAnsiTheme="minorHAnsi" w:cs="Calibri"/>
          <w:color w:val="222222"/>
          <w:sz w:val="22"/>
          <w:szCs w:val="22"/>
        </w:rPr>
        <w:t>Explore the needs of specific populations, including:</w:t>
      </w:r>
    </w:p>
    <w:p w14:paraId="08793F99" w14:textId="1A23D5D6" w:rsidR="00115CB9" w:rsidRPr="005F5685" w:rsidRDefault="00115CB9" w:rsidP="005F5685">
      <w:pPr>
        <w:pStyle w:val="NormalWeb"/>
        <w:numPr>
          <w:ilvl w:val="1"/>
          <w:numId w:val="1"/>
        </w:numPr>
        <w:shd w:val="clear" w:color="auto" w:fill="FFFFFF"/>
        <w:spacing w:before="60" w:beforeAutospacing="0" w:after="60" w:afterAutospacing="0"/>
        <w:rPr>
          <w:rFonts w:asciiTheme="minorHAnsi" w:hAnsiTheme="minorHAnsi" w:cs="Calibri"/>
          <w:color w:val="222222"/>
          <w:sz w:val="22"/>
          <w:szCs w:val="22"/>
        </w:rPr>
      </w:pPr>
      <w:r w:rsidRPr="005F5685">
        <w:rPr>
          <w:rFonts w:asciiTheme="minorHAnsi" w:hAnsiTheme="minorHAnsi" w:cs="Calibri"/>
          <w:color w:val="222222"/>
          <w:sz w:val="22"/>
          <w:szCs w:val="22"/>
        </w:rPr>
        <w:t>Victims from various cultural groups (pg. 32)</w:t>
      </w:r>
    </w:p>
    <w:p w14:paraId="3B35705F" w14:textId="56952EB1" w:rsidR="00115CB9" w:rsidRPr="005F5685" w:rsidRDefault="00115CB9" w:rsidP="005F5685">
      <w:pPr>
        <w:pStyle w:val="NormalWeb"/>
        <w:numPr>
          <w:ilvl w:val="1"/>
          <w:numId w:val="1"/>
        </w:numPr>
        <w:shd w:val="clear" w:color="auto" w:fill="FFFFFF"/>
        <w:spacing w:before="60" w:beforeAutospacing="0" w:after="60" w:afterAutospacing="0"/>
        <w:rPr>
          <w:rFonts w:asciiTheme="minorHAnsi" w:hAnsiTheme="minorHAnsi" w:cs="Calibri"/>
          <w:color w:val="222222"/>
          <w:sz w:val="22"/>
          <w:szCs w:val="22"/>
        </w:rPr>
      </w:pPr>
      <w:r w:rsidRPr="005F5685">
        <w:rPr>
          <w:rFonts w:asciiTheme="minorHAnsi" w:hAnsiTheme="minorHAnsi" w:cs="Calibri"/>
          <w:color w:val="222222"/>
          <w:sz w:val="22"/>
          <w:szCs w:val="22"/>
        </w:rPr>
        <w:t>Victims with limited English proficiency (pg. 32 – 33)</w:t>
      </w:r>
    </w:p>
    <w:p w14:paraId="342D1042" w14:textId="487A1BEF" w:rsidR="00115CB9" w:rsidRPr="005F5685" w:rsidRDefault="00115CB9" w:rsidP="005F5685">
      <w:pPr>
        <w:pStyle w:val="NormalWeb"/>
        <w:numPr>
          <w:ilvl w:val="1"/>
          <w:numId w:val="1"/>
        </w:numPr>
        <w:shd w:val="clear" w:color="auto" w:fill="FFFFFF"/>
        <w:spacing w:before="60" w:beforeAutospacing="0" w:after="60" w:afterAutospacing="0"/>
        <w:rPr>
          <w:rFonts w:asciiTheme="minorHAnsi" w:hAnsiTheme="minorHAnsi" w:cs="Calibri"/>
          <w:color w:val="222222"/>
          <w:sz w:val="22"/>
          <w:szCs w:val="22"/>
        </w:rPr>
      </w:pPr>
      <w:r w:rsidRPr="005F5685">
        <w:rPr>
          <w:rFonts w:asciiTheme="minorHAnsi" w:hAnsiTheme="minorHAnsi" w:cs="Calibri"/>
          <w:color w:val="222222"/>
          <w:sz w:val="22"/>
          <w:szCs w:val="22"/>
        </w:rPr>
        <w:t>Victims with disabilities (pg. 33 – 35)</w:t>
      </w:r>
    </w:p>
    <w:p w14:paraId="2D35F603" w14:textId="0BB6349A" w:rsidR="00115CB9" w:rsidRPr="005F5685" w:rsidRDefault="00115CB9" w:rsidP="005F5685">
      <w:pPr>
        <w:pStyle w:val="NormalWeb"/>
        <w:numPr>
          <w:ilvl w:val="1"/>
          <w:numId w:val="1"/>
        </w:numPr>
        <w:shd w:val="clear" w:color="auto" w:fill="FFFFFF"/>
        <w:spacing w:before="60" w:beforeAutospacing="0" w:after="60" w:afterAutospacing="0"/>
        <w:rPr>
          <w:rFonts w:asciiTheme="minorHAnsi" w:hAnsiTheme="minorHAnsi" w:cs="Calibri"/>
          <w:color w:val="222222"/>
          <w:sz w:val="22"/>
          <w:szCs w:val="22"/>
        </w:rPr>
      </w:pPr>
      <w:r w:rsidRPr="005F5685">
        <w:rPr>
          <w:rFonts w:asciiTheme="minorHAnsi" w:hAnsiTheme="minorHAnsi" w:cs="Calibri"/>
          <w:color w:val="222222"/>
          <w:sz w:val="22"/>
          <w:szCs w:val="22"/>
        </w:rPr>
        <w:t>Male victims (pg. 35)</w:t>
      </w:r>
    </w:p>
    <w:p w14:paraId="680CA473" w14:textId="0B827726" w:rsidR="00115CB9" w:rsidRPr="005F5685" w:rsidRDefault="00115CB9" w:rsidP="005F5685">
      <w:pPr>
        <w:pStyle w:val="NormalWeb"/>
        <w:numPr>
          <w:ilvl w:val="1"/>
          <w:numId w:val="1"/>
        </w:numPr>
        <w:shd w:val="clear" w:color="auto" w:fill="FFFFFF"/>
        <w:spacing w:before="60" w:beforeAutospacing="0" w:after="60" w:afterAutospacing="0"/>
        <w:rPr>
          <w:rFonts w:asciiTheme="minorHAnsi" w:hAnsiTheme="minorHAnsi" w:cs="Calibri"/>
          <w:color w:val="222222"/>
          <w:sz w:val="22"/>
          <w:szCs w:val="22"/>
        </w:rPr>
      </w:pPr>
      <w:r w:rsidRPr="005F5685">
        <w:rPr>
          <w:rFonts w:asciiTheme="minorHAnsi" w:hAnsiTheme="minorHAnsi" w:cs="Calibri"/>
          <w:color w:val="222222"/>
          <w:sz w:val="22"/>
          <w:szCs w:val="22"/>
        </w:rPr>
        <w:t>Adolescent victims (pg. 35 – 36)</w:t>
      </w:r>
    </w:p>
    <w:p w14:paraId="2721A41B" w14:textId="3246703F" w:rsidR="00115CB9" w:rsidRPr="005F5685" w:rsidRDefault="00115CB9" w:rsidP="005F5685">
      <w:pPr>
        <w:pStyle w:val="NormalWeb"/>
        <w:numPr>
          <w:ilvl w:val="1"/>
          <w:numId w:val="1"/>
        </w:numPr>
        <w:shd w:val="clear" w:color="auto" w:fill="FFFFFF"/>
        <w:spacing w:before="60" w:beforeAutospacing="0" w:after="60" w:afterAutospacing="0"/>
        <w:rPr>
          <w:rFonts w:asciiTheme="minorHAnsi" w:hAnsiTheme="minorHAnsi" w:cs="Calibri"/>
          <w:color w:val="222222"/>
          <w:sz w:val="22"/>
          <w:szCs w:val="22"/>
        </w:rPr>
      </w:pPr>
      <w:r w:rsidRPr="005F5685">
        <w:rPr>
          <w:rFonts w:asciiTheme="minorHAnsi" w:hAnsiTheme="minorHAnsi" w:cs="Calibri"/>
          <w:color w:val="222222"/>
          <w:sz w:val="22"/>
          <w:szCs w:val="22"/>
        </w:rPr>
        <w:t xml:space="preserve">Older victims (pg. 36 - 37) </w:t>
      </w:r>
    </w:p>
    <w:p w14:paraId="778227ED" w14:textId="325E1111" w:rsidR="00115CB9" w:rsidRPr="005F5685" w:rsidRDefault="00115CB9" w:rsidP="005F5685">
      <w:pPr>
        <w:pStyle w:val="NormalWeb"/>
        <w:numPr>
          <w:ilvl w:val="1"/>
          <w:numId w:val="1"/>
        </w:numPr>
        <w:shd w:val="clear" w:color="auto" w:fill="FFFFFF"/>
        <w:spacing w:before="60" w:beforeAutospacing="0" w:after="60" w:afterAutospacing="0"/>
        <w:rPr>
          <w:rFonts w:asciiTheme="minorHAnsi" w:hAnsiTheme="minorHAnsi" w:cs="Calibri"/>
          <w:color w:val="222222"/>
          <w:sz w:val="22"/>
          <w:szCs w:val="22"/>
        </w:rPr>
      </w:pPr>
      <w:r w:rsidRPr="005F5685">
        <w:rPr>
          <w:rFonts w:asciiTheme="minorHAnsi" w:hAnsiTheme="minorHAnsi" w:cs="Calibri"/>
          <w:color w:val="222222"/>
          <w:sz w:val="22"/>
          <w:szCs w:val="22"/>
        </w:rPr>
        <w:t xml:space="preserve">Victims in the military (pg. 37) </w:t>
      </w:r>
    </w:p>
    <w:p w14:paraId="5DC1750B" w14:textId="296C6807" w:rsidR="00115CB9" w:rsidRPr="005F5685" w:rsidRDefault="00115CB9" w:rsidP="005F5685">
      <w:pPr>
        <w:pStyle w:val="NormalWeb"/>
        <w:numPr>
          <w:ilvl w:val="1"/>
          <w:numId w:val="1"/>
        </w:numPr>
        <w:shd w:val="clear" w:color="auto" w:fill="FFFFFF"/>
        <w:spacing w:before="60" w:beforeAutospacing="0" w:after="60" w:afterAutospacing="0"/>
        <w:rPr>
          <w:rFonts w:asciiTheme="minorHAnsi" w:hAnsiTheme="minorHAnsi" w:cs="Calibri"/>
          <w:color w:val="222222"/>
          <w:sz w:val="22"/>
          <w:szCs w:val="22"/>
        </w:rPr>
      </w:pPr>
      <w:r w:rsidRPr="005F5685">
        <w:rPr>
          <w:rFonts w:asciiTheme="minorHAnsi" w:hAnsiTheme="minorHAnsi" w:cs="Calibri"/>
          <w:color w:val="222222"/>
          <w:sz w:val="22"/>
          <w:szCs w:val="22"/>
        </w:rPr>
        <w:t>American Indian and Alaska Native victims (pg. 37 – 38)</w:t>
      </w:r>
    </w:p>
    <w:p w14:paraId="3EDF9CD9" w14:textId="6B4134FE" w:rsidR="00115CB9" w:rsidRPr="005F5685" w:rsidRDefault="00115CB9" w:rsidP="005F5685">
      <w:pPr>
        <w:pStyle w:val="NormalWeb"/>
        <w:numPr>
          <w:ilvl w:val="1"/>
          <w:numId w:val="1"/>
        </w:numPr>
        <w:shd w:val="clear" w:color="auto" w:fill="FFFFFF"/>
        <w:spacing w:before="60" w:beforeAutospacing="0" w:after="60" w:afterAutospacing="0"/>
        <w:rPr>
          <w:rFonts w:asciiTheme="minorHAnsi" w:hAnsiTheme="minorHAnsi" w:cs="Calibri"/>
          <w:color w:val="222222"/>
          <w:sz w:val="22"/>
          <w:szCs w:val="22"/>
        </w:rPr>
      </w:pPr>
      <w:r w:rsidRPr="005F5685">
        <w:rPr>
          <w:rFonts w:asciiTheme="minorHAnsi" w:hAnsiTheme="minorHAnsi" w:cs="Calibri"/>
          <w:color w:val="222222"/>
          <w:sz w:val="22"/>
          <w:szCs w:val="22"/>
        </w:rPr>
        <w:t>Lesbian, gay, bisexual, or transgender (LGBT) victims (pg. 38 - 39)</w:t>
      </w:r>
    </w:p>
    <w:p w14:paraId="7D05F26D" w14:textId="142777F4" w:rsidR="00115CB9" w:rsidRPr="005F5685" w:rsidRDefault="00DC43CD" w:rsidP="00F34564">
      <w:pPr>
        <w:pStyle w:val="NormalWeb"/>
        <w:numPr>
          <w:ilvl w:val="0"/>
          <w:numId w:val="1"/>
        </w:numPr>
        <w:shd w:val="clear" w:color="auto" w:fill="FFFFFF"/>
        <w:spacing w:before="80" w:beforeAutospacing="0" w:after="80" w:afterAutospacing="0"/>
        <w:rPr>
          <w:rFonts w:asciiTheme="minorHAnsi" w:hAnsiTheme="minorHAnsi" w:cs="Calibri"/>
          <w:color w:val="222222"/>
          <w:sz w:val="22"/>
          <w:szCs w:val="22"/>
        </w:rPr>
      </w:pPr>
      <w:r w:rsidRPr="005F5685">
        <w:rPr>
          <w:rFonts w:asciiTheme="minorHAnsi" w:hAnsiTheme="minorHAnsi" w:cs="Calibri"/>
          <w:color w:val="222222"/>
          <w:sz w:val="22"/>
          <w:szCs w:val="22"/>
        </w:rPr>
        <w:t>“</w:t>
      </w:r>
      <w:r w:rsidR="00115CB9" w:rsidRPr="005F5685">
        <w:rPr>
          <w:rFonts w:asciiTheme="minorHAnsi" w:hAnsiTheme="minorHAnsi" w:cs="Calibri"/>
          <w:color w:val="222222"/>
          <w:sz w:val="22"/>
          <w:szCs w:val="22"/>
        </w:rPr>
        <w:t>Recognize the importan</w:t>
      </w:r>
      <w:r w:rsidRPr="005F5685">
        <w:rPr>
          <w:rFonts w:asciiTheme="minorHAnsi" w:hAnsiTheme="minorHAnsi" w:cs="Calibri"/>
          <w:color w:val="222222"/>
          <w:sz w:val="22"/>
          <w:szCs w:val="22"/>
        </w:rPr>
        <w:t>ce</w:t>
      </w:r>
      <w:r w:rsidR="00115CB9" w:rsidRPr="005F5685">
        <w:rPr>
          <w:rFonts w:asciiTheme="minorHAnsi" w:hAnsiTheme="minorHAnsi" w:cs="Calibri"/>
          <w:color w:val="222222"/>
          <w:sz w:val="22"/>
          <w:szCs w:val="22"/>
        </w:rPr>
        <w:t xml:space="preserve"> of victim services within the exam process. In many jurisdictions, sexual assault victim advocate programs and other victim service programs offer a range of services before, during, and after the exam process. Ideally, advocates should </w:t>
      </w:r>
      <w:r w:rsidRPr="005F5685">
        <w:rPr>
          <w:rFonts w:asciiTheme="minorHAnsi" w:hAnsiTheme="minorHAnsi" w:cs="Calibri"/>
          <w:color w:val="222222"/>
          <w:sz w:val="22"/>
          <w:szCs w:val="22"/>
        </w:rPr>
        <w:t>begin</w:t>
      </w:r>
      <w:r w:rsidR="00115CB9" w:rsidRPr="005F5685">
        <w:rPr>
          <w:rFonts w:asciiTheme="minorHAnsi" w:hAnsiTheme="minorHAnsi" w:cs="Calibri"/>
          <w:color w:val="222222"/>
          <w:sz w:val="22"/>
          <w:szCs w:val="22"/>
        </w:rPr>
        <w:t xml:space="preserve"> </w:t>
      </w:r>
      <w:r w:rsidR="00D57C77" w:rsidRPr="005F5685">
        <w:rPr>
          <w:rFonts w:asciiTheme="minorHAnsi" w:hAnsiTheme="minorHAnsi" w:cs="Calibri"/>
          <w:color w:val="222222"/>
          <w:sz w:val="22"/>
          <w:szCs w:val="22"/>
        </w:rPr>
        <w:t>interacting</w:t>
      </w:r>
      <w:r w:rsidR="00115CB9" w:rsidRPr="005F5685">
        <w:rPr>
          <w:rFonts w:asciiTheme="minorHAnsi" w:hAnsiTheme="minorHAnsi" w:cs="Calibri"/>
          <w:color w:val="222222"/>
          <w:sz w:val="22"/>
          <w:szCs w:val="22"/>
        </w:rPr>
        <w:t xml:space="preserve"> with victims in a language the victims </w:t>
      </w:r>
      <w:proofErr w:type="gramStart"/>
      <w:r w:rsidR="00115CB9" w:rsidRPr="005F5685">
        <w:rPr>
          <w:rFonts w:asciiTheme="minorHAnsi" w:hAnsiTheme="minorHAnsi" w:cs="Calibri"/>
          <w:color w:val="222222"/>
          <w:sz w:val="22"/>
          <w:szCs w:val="22"/>
        </w:rPr>
        <w:t>understand</w:t>
      </w:r>
      <w:r w:rsidR="00D57C77" w:rsidRPr="005F5685">
        <w:rPr>
          <w:rFonts w:asciiTheme="minorHAnsi" w:hAnsiTheme="minorHAnsi" w:cs="Calibri"/>
          <w:color w:val="222222"/>
          <w:sz w:val="22"/>
          <w:szCs w:val="22"/>
        </w:rPr>
        <w:t>s</w:t>
      </w:r>
      <w:proofErr w:type="gramEnd"/>
      <w:r w:rsidR="00D57C77" w:rsidRPr="005F5685">
        <w:rPr>
          <w:rFonts w:asciiTheme="minorHAnsi" w:hAnsiTheme="minorHAnsi" w:cs="Calibri"/>
          <w:color w:val="222222"/>
          <w:sz w:val="22"/>
          <w:szCs w:val="22"/>
        </w:rPr>
        <w:t xml:space="preserve"> prior to the exam, as soon after disclosure of the assault as possible…”</w:t>
      </w:r>
    </w:p>
    <w:p w14:paraId="00D5EA66" w14:textId="2804086E" w:rsidR="0099668E" w:rsidRPr="005F5685" w:rsidRDefault="0099668E" w:rsidP="00F34564">
      <w:pPr>
        <w:pStyle w:val="NormalWeb"/>
        <w:shd w:val="clear" w:color="auto" w:fill="FFFFFF"/>
        <w:spacing w:before="80" w:beforeAutospacing="0" w:after="80" w:afterAutospacing="0"/>
        <w:rPr>
          <w:rFonts w:asciiTheme="minorHAnsi" w:hAnsiTheme="minorHAnsi" w:cs="Calibri"/>
          <w:color w:val="222222"/>
          <w:sz w:val="22"/>
          <w:szCs w:val="22"/>
          <w:u w:val="single"/>
        </w:rPr>
      </w:pPr>
      <w:r w:rsidRPr="005F5685">
        <w:rPr>
          <w:rFonts w:asciiTheme="minorHAnsi" w:hAnsiTheme="minorHAnsi" w:cs="Calibri"/>
          <w:color w:val="222222"/>
          <w:sz w:val="22"/>
          <w:szCs w:val="22"/>
          <w:u w:val="single"/>
        </w:rPr>
        <w:t>STI Evaluation and Care (pg. 111-113)</w:t>
      </w:r>
    </w:p>
    <w:p w14:paraId="3DC42A2B" w14:textId="7B5020E9" w:rsidR="00E2012A" w:rsidRPr="005F5685" w:rsidRDefault="00E2012A" w:rsidP="00F34564">
      <w:pPr>
        <w:pStyle w:val="NormalWeb"/>
        <w:numPr>
          <w:ilvl w:val="0"/>
          <w:numId w:val="1"/>
        </w:numPr>
        <w:shd w:val="clear" w:color="auto" w:fill="FFFFFF"/>
        <w:spacing w:before="80" w:beforeAutospacing="0" w:after="80" w:afterAutospacing="0"/>
        <w:rPr>
          <w:rFonts w:asciiTheme="minorHAnsi" w:hAnsiTheme="minorHAnsi" w:cs="Calibri"/>
          <w:color w:val="222222"/>
          <w:sz w:val="22"/>
          <w:szCs w:val="22"/>
        </w:rPr>
      </w:pPr>
      <w:r w:rsidRPr="005F5685">
        <w:rPr>
          <w:rFonts w:asciiTheme="minorHAnsi" w:hAnsiTheme="minorHAnsi" w:cs="Calibri"/>
          <w:color w:val="222222"/>
          <w:sz w:val="22"/>
          <w:szCs w:val="22"/>
        </w:rPr>
        <w:t xml:space="preserve">See page 111 </w:t>
      </w:r>
      <w:r w:rsidR="00DC43CD" w:rsidRPr="005F5685">
        <w:rPr>
          <w:rFonts w:asciiTheme="minorHAnsi" w:hAnsiTheme="minorHAnsi" w:cs="Calibri"/>
          <w:color w:val="222222"/>
          <w:sz w:val="22"/>
          <w:szCs w:val="22"/>
        </w:rPr>
        <w:t>for</w:t>
      </w:r>
      <w:r w:rsidRPr="005F5685">
        <w:rPr>
          <w:rFonts w:asciiTheme="minorHAnsi" w:hAnsiTheme="minorHAnsi" w:cs="Calibri"/>
          <w:color w:val="222222"/>
          <w:sz w:val="22"/>
          <w:szCs w:val="22"/>
        </w:rPr>
        <w:t xml:space="preserve"> info on testing</w:t>
      </w:r>
      <w:r w:rsidR="00DC43CD" w:rsidRPr="005F5685">
        <w:rPr>
          <w:rFonts w:asciiTheme="minorHAnsi" w:hAnsiTheme="minorHAnsi" w:cs="Calibri"/>
          <w:color w:val="222222"/>
          <w:sz w:val="22"/>
          <w:szCs w:val="22"/>
        </w:rPr>
        <w:t xml:space="preserve"> for STIs</w:t>
      </w:r>
      <w:r w:rsidRPr="005F5685">
        <w:rPr>
          <w:rFonts w:asciiTheme="minorHAnsi" w:hAnsiTheme="minorHAnsi" w:cs="Calibri"/>
          <w:color w:val="222222"/>
          <w:sz w:val="22"/>
          <w:szCs w:val="22"/>
        </w:rPr>
        <w:t xml:space="preserve"> at the time of the SAFE. </w:t>
      </w:r>
    </w:p>
    <w:p w14:paraId="2B0B5B95" w14:textId="6F22D7E0" w:rsidR="00E2012A" w:rsidRPr="005F5685" w:rsidRDefault="00E2012A" w:rsidP="00F34564">
      <w:pPr>
        <w:pStyle w:val="NormalWeb"/>
        <w:numPr>
          <w:ilvl w:val="1"/>
          <w:numId w:val="1"/>
        </w:numPr>
        <w:shd w:val="clear" w:color="auto" w:fill="FFFFFF"/>
        <w:spacing w:before="80" w:beforeAutospacing="0" w:after="80" w:afterAutospacing="0"/>
        <w:rPr>
          <w:rFonts w:asciiTheme="minorHAnsi" w:hAnsiTheme="minorHAnsi" w:cs="Calibri"/>
          <w:color w:val="222222"/>
          <w:sz w:val="22"/>
          <w:szCs w:val="22"/>
        </w:rPr>
      </w:pPr>
      <w:r w:rsidRPr="005F5685">
        <w:rPr>
          <w:rFonts w:asciiTheme="minorHAnsi" w:hAnsiTheme="minorHAnsi" w:cs="Calibri"/>
          <w:color w:val="222222"/>
          <w:sz w:val="22"/>
          <w:szCs w:val="22"/>
        </w:rPr>
        <w:t>“Contracting a sexually transmitted infection (STI)… from assailants is typically a significant concern of sexual assault patients. Because of this concern, it should be addressed as part of the medical forensic exam. Mechanisms should be in place in any setting where these patients are examined for STIs to ensure continuity of care (including timely review of test results) and monitor compliance with</w:t>
      </w:r>
      <w:r w:rsidR="00DC43CD" w:rsidRPr="005F5685">
        <w:rPr>
          <w:rFonts w:asciiTheme="minorHAnsi" w:hAnsiTheme="minorHAnsi" w:cs="Calibri"/>
          <w:color w:val="222222"/>
          <w:sz w:val="22"/>
          <w:szCs w:val="22"/>
        </w:rPr>
        <w:t>,</w:t>
      </w:r>
      <w:r w:rsidRPr="005F5685">
        <w:rPr>
          <w:rFonts w:asciiTheme="minorHAnsi" w:hAnsiTheme="minorHAnsi" w:cs="Calibri"/>
          <w:color w:val="222222"/>
          <w:sz w:val="22"/>
          <w:szCs w:val="22"/>
        </w:rPr>
        <w:t xml:space="preserve"> and adverse reactions to</w:t>
      </w:r>
      <w:r w:rsidR="00DC43CD" w:rsidRPr="005F5685">
        <w:rPr>
          <w:rFonts w:asciiTheme="minorHAnsi" w:hAnsiTheme="minorHAnsi" w:cs="Calibri"/>
          <w:color w:val="222222"/>
          <w:sz w:val="22"/>
          <w:szCs w:val="22"/>
        </w:rPr>
        <w:t>,</w:t>
      </w:r>
      <w:r w:rsidRPr="005F5685">
        <w:rPr>
          <w:rFonts w:asciiTheme="minorHAnsi" w:hAnsiTheme="minorHAnsi" w:cs="Calibri"/>
          <w:color w:val="222222"/>
          <w:sz w:val="22"/>
          <w:szCs w:val="22"/>
        </w:rPr>
        <w:t xml:space="preserve"> any therapeutic or prophylactic regimens.”</w:t>
      </w:r>
    </w:p>
    <w:p w14:paraId="61E94FBD" w14:textId="63B4AE40" w:rsidR="00E2012A" w:rsidRPr="005F5685" w:rsidRDefault="00E2012A" w:rsidP="00F34564">
      <w:pPr>
        <w:pStyle w:val="NormalWeb"/>
        <w:numPr>
          <w:ilvl w:val="1"/>
          <w:numId w:val="1"/>
        </w:numPr>
        <w:shd w:val="clear" w:color="auto" w:fill="FFFFFF"/>
        <w:spacing w:before="80" w:beforeAutospacing="0" w:after="80" w:afterAutospacing="0"/>
        <w:rPr>
          <w:rFonts w:asciiTheme="minorHAnsi" w:hAnsiTheme="minorHAnsi" w:cs="Calibri"/>
          <w:color w:val="222222"/>
          <w:sz w:val="22"/>
          <w:szCs w:val="22"/>
        </w:rPr>
      </w:pPr>
      <w:r w:rsidRPr="005F5685">
        <w:rPr>
          <w:rFonts w:asciiTheme="minorHAnsi" w:hAnsiTheme="minorHAnsi" w:cs="Calibri"/>
          <w:color w:val="222222"/>
          <w:sz w:val="22"/>
          <w:szCs w:val="22"/>
        </w:rPr>
        <w:t>“Consider the need for STI testing on an individual basis. Testing at the time of the initial exam does not typically have forensic value… there may, however, be situations in which testing has legal purposes, as in cases where the threat of transmission or actual transmission of an STI was an element of the crime. Or, for non-sexually active patients a baseline negative test followed by an STI could be used as evidence, if the suspect also had an STI.”</w:t>
      </w:r>
    </w:p>
    <w:p w14:paraId="5958E883" w14:textId="7FC495DB" w:rsidR="00E2012A" w:rsidRPr="005F5685" w:rsidRDefault="00E2012A" w:rsidP="00F34564">
      <w:pPr>
        <w:pStyle w:val="NormalWeb"/>
        <w:numPr>
          <w:ilvl w:val="1"/>
          <w:numId w:val="1"/>
        </w:numPr>
        <w:shd w:val="clear" w:color="auto" w:fill="FFFFFF"/>
        <w:spacing w:before="80" w:beforeAutospacing="0" w:after="80" w:afterAutospacing="0"/>
        <w:rPr>
          <w:rFonts w:asciiTheme="minorHAnsi" w:hAnsiTheme="minorHAnsi" w:cs="Calibri"/>
          <w:color w:val="222222"/>
          <w:sz w:val="22"/>
          <w:szCs w:val="22"/>
        </w:rPr>
      </w:pPr>
      <w:r w:rsidRPr="005F5685">
        <w:rPr>
          <w:rFonts w:asciiTheme="minorHAnsi" w:hAnsiTheme="minorHAnsi" w:cs="Calibri"/>
          <w:color w:val="222222"/>
          <w:sz w:val="22"/>
          <w:szCs w:val="22"/>
        </w:rPr>
        <w:t>“Encourage patients to accept prophylaxis against STIs if indicated. If prophylaxis is accepted at the time of the exam, testing is usually not indicated medically… Meet or exceed current CDC guidelines for STI preventative therapy for your geographic area. If prophylaxis is declined at the time of the initial exam, it is medically prudent to obtain cultures and arrange for a follow-up examination and testing (it is recommended that all patients are reexamined – see section on follow-up activities). Document patients’ decisions and rationales for declining prophylaxis in their medical records.”</w:t>
      </w:r>
    </w:p>
    <w:p w14:paraId="33B5FCF4" w14:textId="5A7ED0F8" w:rsidR="00115CB9" w:rsidRPr="005F5685" w:rsidRDefault="00115CB9" w:rsidP="00F34564">
      <w:pPr>
        <w:pStyle w:val="NormalWeb"/>
        <w:numPr>
          <w:ilvl w:val="1"/>
          <w:numId w:val="1"/>
        </w:numPr>
        <w:shd w:val="clear" w:color="auto" w:fill="FFFFFF"/>
        <w:spacing w:before="80" w:beforeAutospacing="0" w:after="80" w:afterAutospacing="0"/>
        <w:rPr>
          <w:rFonts w:asciiTheme="minorHAnsi" w:hAnsiTheme="minorHAnsi" w:cs="Calibri"/>
          <w:color w:val="222222"/>
          <w:sz w:val="22"/>
          <w:szCs w:val="22"/>
        </w:rPr>
      </w:pPr>
      <w:r w:rsidRPr="005F5685">
        <w:rPr>
          <w:rFonts w:asciiTheme="minorHAnsi" w:hAnsiTheme="minorHAnsi" w:cs="Calibri"/>
          <w:color w:val="222222"/>
          <w:sz w:val="22"/>
          <w:szCs w:val="22"/>
        </w:rPr>
        <w:t xml:space="preserve">“Address concerns about HIV infection.” </w:t>
      </w:r>
    </w:p>
    <w:p w14:paraId="4E23A0D2" w14:textId="3783EE6F" w:rsidR="00DC43CD" w:rsidRPr="005F5685" w:rsidRDefault="00DC43CD" w:rsidP="00F34564">
      <w:pPr>
        <w:pStyle w:val="NormalWeb"/>
        <w:numPr>
          <w:ilvl w:val="2"/>
          <w:numId w:val="1"/>
        </w:numPr>
        <w:shd w:val="clear" w:color="auto" w:fill="FFFFFF"/>
        <w:spacing w:before="80" w:beforeAutospacing="0" w:after="80" w:afterAutospacing="0"/>
        <w:rPr>
          <w:rFonts w:asciiTheme="minorHAnsi" w:hAnsiTheme="minorHAnsi" w:cs="Calibri"/>
          <w:color w:val="222222"/>
          <w:sz w:val="22"/>
          <w:szCs w:val="22"/>
        </w:rPr>
      </w:pPr>
      <w:r w:rsidRPr="005F5685">
        <w:rPr>
          <w:rFonts w:asciiTheme="minorHAnsi" w:hAnsiTheme="minorHAnsi" w:cs="Calibri"/>
          <w:i/>
          <w:iCs/>
          <w:color w:val="222222"/>
          <w:sz w:val="22"/>
          <w:szCs w:val="22"/>
        </w:rPr>
        <w:t>Note: Maryland provides survivors of sexual assault with access to a full course of HIV prophylaxis treatment (</w:t>
      </w:r>
      <w:proofErr w:type="spellStart"/>
      <w:r w:rsidRPr="005F5685">
        <w:rPr>
          <w:rFonts w:asciiTheme="minorHAnsi" w:hAnsiTheme="minorHAnsi" w:cs="Calibri"/>
          <w:i/>
          <w:iCs/>
          <w:color w:val="222222"/>
          <w:sz w:val="22"/>
          <w:szCs w:val="22"/>
        </w:rPr>
        <w:t>nPEP</w:t>
      </w:r>
      <w:proofErr w:type="spellEnd"/>
      <w:r w:rsidRPr="005F5685">
        <w:rPr>
          <w:rFonts w:asciiTheme="minorHAnsi" w:hAnsiTheme="minorHAnsi" w:cs="Calibri"/>
          <w:i/>
          <w:iCs/>
          <w:color w:val="222222"/>
          <w:sz w:val="22"/>
          <w:szCs w:val="22"/>
        </w:rPr>
        <w:t xml:space="preserve"> or PEP) free of cost. This is available to survivors </w:t>
      </w:r>
      <w:proofErr w:type="gramStart"/>
      <w:r w:rsidRPr="005F5685">
        <w:rPr>
          <w:rFonts w:asciiTheme="minorHAnsi" w:hAnsiTheme="minorHAnsi" w:cs="Calibri"/>
          <w:i/>
          <w:iCs/>
          <w:color w:val="222222"/>
          <w:sz w:val="22"/>
          <w:szCs w:val="22"/>
        </w:rPr>
        <w:t>whether or not</w:t>
      </w:r>
      <w:proofErr w:type="gramEnd"/>
      <w:r w:rsidRPr="005F5685">
        <w:rPr>
          <w:rFonts w:asciiTheme="minorHAnsi" w:hAnsiTheme="minorHAnsi" w:cs="Calibri"/>
          <w:i/>
          <w:iCs/>
          <w:color w:val="222222"/>
          <w:sz w:val="22"/>
          <w:szCs w:val="22"/>
        </w:rPr>
        <w:t xml:space="preserve"> they receive a full SAFE. </w:t>
      </w:r>
    </w:p>
    <w:p w14:paraId="12011C80" w14:textId="4C7673E9" w:rsidR="00115CB9" w:rsidRPr="005F5685" w:rsidRDefault="00115CB9" w:rsidP="00F34564">
      <w:pPr>
        <w:pStyle w:val="NormalWeb"/>
        <w:numPr>
          <w:ilvl w:val="1"/>
          <w:numId w:val="1"/>
        </w:numPr>
        <w:shd w:val="clear" w:color="auto" w:fill="FFFFFF"/>
        <w:spacing w:before="80" w:beforeAutospacing="0" w:after="80" w:afterAutospacing="0"/>
        <w:rPr>
          <w:rFonts w:asciiTheme="minorHAnsi" w:hAnsiTheme="minorHAnsi" w:cs="Calibri"/>
          <w:color w:val="222222"/>
          <w:sz w:val="22"/>
          <w:szCs w:val="22"/>
        </w:rPr>
      </w:pPr>
      <w:r w:rsidRPr="005F5685">
        <w:rPr>
          <w:rFonts w:asciiTheme="minorHAnsi" w:hAnsiTheme="minorHAnsi" w:cs="Calibri"/>
          <w:color w:val="222222"/>
          <w:sz w:val="22"/>
          <w:szCs w:val="22"/>
        </w:rPr>
        <w:t xml:space="preserve">“Provide information and referrals. Examiners should talk with </w:t>
      </w:r>
      <w:r w:rsidR="00DC43CD" w:rsidRPr="005F5685">
        <w:rPr>
          <w:rFonts w:asciiTheme="minorHAnsi" w:hAnsiTheme="minorHAnsi" w:cs="Calibri"/>
          <w:color w:val="222222"/>
          <w:sz w:val="22"/>
          <w:szCs w:val="22"/>
        </w:rPr>
        <w:t>patients</w:t>
      </w:r>
      <w:r w:rsidRPr="005F5685">
        <w:rPr>
          <w:rFonts w:asciiTheme="minorHAnsi" w:hAnsiTheme="minorHAnsi" w:cs="Calibri"/>
          <w:color w:val="222222"/>
          <w:sz w:val="22"/>
          <w:szCs w:val="22"/>
        </w:rPr>
        <w:t xml:space="preserve"> about their concerns regarding the possibility of contracting HIV. Although a definitive statement of benefit cannot be made regarding Post Exposure Prophylaxis (PEP) after sexual assault, the possibility of HIV exposure from the assault should be assessed at the time of examination. The possible benefit of PEP in preventing HIV infection should also be discussed with the patient if the details of the assault pose an elevated risk for HIV exposure.” </w:t>
      </w:r>
    </w:p>
    <w:p w14:paraId="68D5FD5C" w14:textId="774984F6" w:rsidR="00115CB9" w:rsidRPr="005F5685" w:rsidRDefault="00115CB9" w:rsidP="00F34564">
      <w:pPr>
        <w:pStyle w:val="NormalWeb"/>
        <w:numPr>
          <w:ilvl w:val="1"/>
          <w:numId w:val="1"/>
        </w:numPr>
        <w:shd w:val="clear" w:color="auto" w:fill="FFFFFF"/>
        <w:spacing w:before="80" w:beforeAutospacing="0" w:after="80" w:afterAutospacing="0"/>
        <w:rPr>
          <w:rFonts w:asciiTheme="minorHAnsi" w:hAnsiTheme="minorHAnsi" w:cs="Calibri"/>
          <w:color w:val="222222"/>
          <w:sz w:val="22"/>
          <w:szCs w:val="22"/>
        </w:rPr>
      </w:pPr>
      <w:r w:rsidRPr="005F5685">
        <w:rPr>
          <w:rFonts w:asciiTheme="minorHAnsi" w:hAnsiTheme="minorHAnsi" w:cs="Calibri"/>
          <w:color w:val="222222"/>
          <w:sz w:val="22"/>
          <w:szCs w:val="22"/>
        </w:rPr>
        <w:lastRenderedPageBreak/>
        <w:t>“Discuss testing options</w:t>
      </w:r>
      <w:r w:rsidR="00DC43CD" w:rsidRPr="005F5685">
        <w:rPr>
          <w:rFonts w:asciiTheme="minorHAnsi" w:hAnsiTheme="minorHAnsi" w:cs="Calibri"/>
          <w:color w:val="222222"/>
          <w:sz w:val="22"/>
          <w:szCs w:val="22"/>
        </w:rPr>
        <w:t>.</w:t>
      </w:r>
      <w:r w:rsidRPr="005F5685">
        <w:rPr>
          <w:rFonts w:asciiTheme="minorHAnsi" w:hAnsiTheme="minorHAnsi" w:cs="Calibri"/>
          <w:color w:val="222222"/>
          <w:sz w:val="22"/>
          <w:szCs w:val="22"/>
        </w:rPr>
        <w:t>”</w:t>
      </w:r>
    </w:p>
    <w:p w14:paraId="6DA0F8E0" w14:textId="3A568368" w:rsidR="00115CB9" w:rsidRPr="005F5685" w:rsidRDefault="00115CB9" w:rsidP="00F34564">
      <w:pPr>
        <w:pStyle w:val="NormalWeb"/>
        <w:numPr>
          <w:ilvl w:val="1"/>
          <w:numId w:val="1"/>
        </w:numPr>
        <w:shd w:val="clear" w:color="auto" w:fill="FFFFFF"/>
        <w:spacing w:before="80" w:beforeAutospacing="0" w:after="80" w:afterAutospacing="0"/>
        <w:rPr>
          <w:rFonts w:asciiTheme="minorHAnsi" w:hAnsiTheme="minorHAnsi" w:cs="Calibri"/>
          <w:color w:val="222222"/>
          <w:sz w:val="22"/>
          <w:szCs w:val="22"/>
        </w:rPr>
      </w:pPr>
      <w:r w:rsidRPr="005F5685">
        <w:rPr>
          <w:rFonts w:asciiTheme="minorHAnsi" w:hAnsiTheme="minorHAnsi" w:cs="Calibri"/>
          <w:color w:val="222222"/>
          <w:sz w:val="22"/>
          <w:szCs w:val="22"/>
        </w:rPr>
        <w:t>“Assess the need for HIV postexposure prophylaxis… Health care personnel must evaluate patients’ risk of exposure to HIV and consider whether to offer treatment based on their perceived risk… Numerous factors may influence the decision to offer treatment…</w:t>
      </w:r>
      <w:r w:rsidR="00DC43CD" w:rsidRPr="005F5685">
        <w:rPr>
          <w:rFonts w:asciiTheme="minorHAnsi" w:hAnsiTheme="minorHAnsi" w:cs="Calibri"/>
          <w:color w:val="222222"/>
          <w:sz w:val="22"/>
          <w:szCs w:val="22"/>
        </w:rPr>
        <w:t>”</w:t>
      </w:r>
    </w:p>
    <w:p w14:paraId="650700B8" w14:textId="6F74E65A" w:rsidR="00DC43CD" w:rsidRPr="005F5685" w:rsidRDefault="00DC43CD" w:rsidP="00F34564">
      <w:pPr>
        <w:pStyle w:val="NormalWeb"/>
        <w:numPr>
          <w:ilvl w:val="2"/>
          <w:numId w:val="1"/>
        </w:numPr>
        <w:shd w:val="clear" w:color="auto" w:fill="FFFFFF"/>
        <w:spacing w:before="80" w:beforeAutospacing="0" w:after="80" w:afterAutospacing="0"/>
        <w:rPr>
          <w:rFonts w:asciiTheme="minorHAnsi" w:hAnsiTheme="minorHAnsi" w:cs="Calibri"/>
          <w:color w:val="222222"/>
          <w:sz w:val="22"/>
          <w:szCs w:val="22"/>
        </w:rPr>
      </w:pPr>
      <w:r w:rsidRPr="005F5685">
        <w:rPr>
          <w:rFonts w:asciiTheme="minorHAnsi" w:hAnsiTheme="minorHAnsi" w:cs="Calibri"/>
          <w:i/>
          <w:iCs/>
          <w:color w:val="222222"/>
          <w:sz w:val="22"/>
          <w:szCs w:val="22"/>
        </w:rPr>
        <w:t xml:space="preserve">Note: not all survivors will be eligible for treatment. Medical professionals, including FNEs, are trained to conduct thorough risk assessments and determine medication needs based on said assessment. </w:t>
      </w:r>
    </w:p>
    <w:p w14:paraId="7F192091" w14:textId="3FEF7967" w:rsidR="0068217E" w:rsidRDefault="00115CB9" w:rsidP="005E5B02">
      <w:pPr>
        <w:pStyle w:val="NormalWeb"/>
        <w:numPr>
          <w:ilvl w:val="1"/>
          <w:numId w:val="1"/>
        </w:numPr>
        <w:shd w:val="clear" w:color="auto" w:fill="FFFFFF"/>
        <w:spacing w:before="80" w:beforeAutospacing="0" w:after="80" w:afterAutospacing="0"/>
        <w:rPr>
          <w:rFonts w:asciiTheme="minorHAnsi" w:hAnsiTheme="minorHAnsi" w:cs="Calibri"/>
          <w:color w:val="222222"/>
          <w:sz w:val="22"/>
          <w:szCs w:val="22"/>
          <w:u w:val="single"/>
        </w:rPr>
      </w:pPr>
      <w:r w:rsidRPr="005F5685">
        <w:rPr>
          <w:rFonts w:asciiTheme="minorHAnsi" w:hAnsiTheme="minorHAnsi" w:cs="Calibri"/>
          <w:color w:val="222222"/>
          <w:sz w:val="22"/>
          <w:szCs w:val="22"/>
        </w:rPr>
        <w:t>“When given following a sexual assault postexposure prophylaxis… refer to CDC recommendations for postexposure antiretroviral therapy and consult with an HIV specialist where possible. Careful monitoring and follow-up by a heath care provider or agency experienced in HIV issues is required.”</w:t>
      </w:r>
    </w:p>
    <w:p w14:paraId="2AA4FFCC" w14:textId="40417588" w:rsidR="0099668E" w:rsidRPr="005F5685" w:rsidRDefault="0099668E" w:rsidP="00F34564">
      <w:pPr>
        <w:pStyle w:val="NormalWeb"/>
        <w:shd w:val="clear" w:color="auto" w:fill="FFFFFF"/>
        <w:spacing w:before="80" w:beforeAutospacing="0" w:after="80" w:afterAutospacing="0"/>
        <w:rPr>
          <w:rFonts w:asciiTheme="minorHAnsi" w:hAnsiTheme="minorHAnsi" w:cs="Calibri"/>
          <w:color w:val="222222"/>
          <w:sz w:val="22"/>
          <w:szCs w:val="22"/>
          <w:u w:val="single"/>
        </w:rPr>
      </w:pPr>
      <w:r w:rsidRPr="005F5685">
        <w:rPr>
          <w:rFonts w:asciiTheme="minorHAnsi" w:hAnsiTheme="minorHAnsi" w:cs="Calibri"/>
          <w:color w:val="222222"/>
          <w:sz w:val="22"/>
          <w:szCs w:val="22"/>
          <w:u w:val="single"/>
        </w:rPr>
        <w:t xml:space="preserve">Pregnancy Risk Evaluation and Care (pg. 115-116). </w:t>
      </w:r>
    </w:p>
    <w:p w14:paraId="5E463CE3" w14:textId="3E154BBC" w:rsidR="00E2012A" w:rsidRPr="005F5685" w:rsidRDefault="00DC43CD" w:rsidP="00F34564">
      <w:pPr>
        <w:pStyle w:val="NormalWeb"/>
        <w:numPr>
          <w:ilvl w:val="0"/>
          <w:numId w:val="1"/>
        </w:numPr>
        <w:shd w:val="clear" w:color="auto" w:fill="FFFFFF"/>
        <w:spacing w:before="80" w:beforeAutospacing="0" w:after="80" w:afterAutospacing="0"/>
        <w:rPr>
          <w:rFonts w:asciiTheme="minorHAnsi" w:hAnsiTheme="minorHAnsi" w:cs="Calibri"/>
          <w:color w:val="222222"/>
          <w:sz w:val="22"/>
          <w:szCs w:val="22"/>
        </w:rPr>
      </w:pPr>
      <w:r w:rsidRPr="005F5685">
        <w:rPr>
          <w:rFonts w:asciiTheme="minorHAnsi" w:hAnsiTheme="minorHAnsi" w:cs="Calibri"/>
          <w:color w:val="222222"/>
          <w:sz w:val="22"/>
          <w:szCs w:val="22"/>
        </w:rPr>
        <w:t>“</w:t>
      </w:r>
      <w:r w:rsidR="0099668E" w:rsidRPr="005F5685">
        <w:rPr>
          <w:rFonts w:asciiTheme="minorHAnsi" w:hAnsiTheme="minorHAnsi" w:cs="Calibri"/>
          <w:color w:val="222222"/>
          <w:sz w:val="22"/>
          <w:szCs w:val="22"/>
        </w:rPr>
        <w:t xml:space="preserve">Recommendation to </w:t>
      </w:r>
      <w:r w:rsidR="00E2012A" w:rsidRPr="005F5685">
        <w:rPr>
          <w:rFonts w:asciiTheme="minorHAnsi" w:hAnsiTheme="minorHAnsi" w:cs="Calibri"/>
          <w:color w:val="222222"/>
          <w:sz w:val="22"/>
          <w:szCs w:val="22"/>
        </w:rPr>
        <w:t>administer a pregnancy test for all patients with reproductive capability (with their consent).</w:t>
      </w:r>
      <w:r w:rsidRPr="005F5685">
        <w:rPr>
          <w:rFonts w:asciiTheme="minorHAnsi" w:hAnsiTheme="minorHAnsi" w:cs="Calibri"/>
          <w:color w:val="222222"/>
          <w:sz w:val="22"/>
          <w:szCs w:val="22"/>
        </w:rPr>
        <w:t>”</w:t>
      </w:r>
    </w:p>
    <w:p w14:paraId="490B4BA3" w14:textId="60C088C9" w:rsidR="00E2012A" w:rsidRPr="005F5685" w:rsidRDefault="00DC43CD" w:rsidP="00F34564">
      <w:pPr>
        <w:pStyle w:val="NormalWeb"/>
        <w:numPr>
          <w:ilvl w:val="0"/>
          <w:numId w:val="1"/>
        </w:numPr>
        <w:shd w:val="clear" w:color="auto" w:fill="FFFFFF"/>
        <w:spacing w:before="80" w:beforeAutospacing="0" w:after="80" w:afterAutospacing="0"/>
        <w:rPr>
          <w:rFonts w:asciiTheme="minorHAnsi" w:hAnsiTheme="minorHAnsi" w:cs="Calibri"/>
          <w:color w:val="222222"/>
          <w:sz w:val="22"/>
          <w:szCs w:val="22"/>
        </w:rPr>
      </w:pPr>
      <w:r w:rsidRPr="005F5685">
        <w:rPr>
          <w:rFonts w:asciiTheme="minorHAnsi" w:hAnsiTheme="minorHAnsi" w:cs="Calibri"/>
          <w:color w:val="222222"/>
          <w:sz w:val="22"/>
          <w:szCs w:val="22"/>
        </w:rPr>
        <w:t>“</w:t>
      </w:r>
      <w:r w:rsidR="00E2012A" w:rsidRPr="005F5685">
        <w:rPr>
          <w:rFonts w:asciiTheme="minorHAnsi" w:hAnsiTheme="minorHAnsi" w:cs="Calibri"/>
          <w:color w:val="222222"/>
          <w:sz w:val="22"/>
          <w:szCs w:val="22"/>
        </w:rPr>
        <w:t>Discuss treatment options with patients, including emergency contraception (EC).</w:t>
      </w:r>
      <w:r w:rsidRPr="005F5685">
        <w:rPr>
          <w:rFonts w:asciiTheme="minorHAnsi" w:hAnsiTheme="minorHAnsi" w:cs="Calibri"/>
          <w:color w:val="222222"/>
          <w:sz w:val="22"/>
          <w:szCs w:val="22"/>
        </w:rPr>
        <w:t>”</w:t>
      </w:r>
    </w:p>
    <w:p w14:paraId="12134E76" w14:textId="3002D323" w:rsidR="0099668E" w:rsidRPr="005F5685" w:rsidRDefault="00DC43CD" w:rsidP="00F34564">
      <w:pPr>
        <w:pStyle w:val="NormalWeb"/>
        <w:numPr>
          <w:ilvl w:val="0"/>
          <w:numId w:val="1"/>
        </w:numPr>
        <w:shd w:val="clear" w:color="auto" w:fill="FFFFFF"/>
        <w:spacing w:before="80" w:beforeAutospacing="0" w:after="80" w:afterAutospacing="0"/>
        <w:rPr>
          <w:rFonts w:asciiTheme="minorHAnsi" w:hAnsiTheme="minorHAnsi" w:cs="Calibri"/>
          <w:color w:val="222222"/>
          <w:sz w:val="22"/>
          <w:szCs w:val="22"/>
        </w:rPr>
      </w:pPr>
      <w:r w:rsidRPr="005F5685">
        <w:rPr>
          <w:rFonts w:asciiTheme="minorHAnsi" w:hAnsiTheme="minorHAnsi" w:cs="Calibri"/>
          <w:color w:val="222222"/>
          <w:sz w:val="22"/>
          <w:szCs w:val="22"/>
        </w:rPr>
        <w:t>“</w:t>
      </w:r>
      <w:r w:rsidR="00E2012A" w:rsidRPr="005F5685">
        <w:rPr>
          <w:rFonts w:asciiTheme="minorHAnsi" w:hAnsiTheme="minorHAnsi" w:cs="Calibri"/>
          <w:color w:val="222222"/>
          <w:sz w:val="22"/>
          <w:szCs w:val="22"/>
        </w:rPr>
        <w:t>If the emergency department (ED) chooses not to provide E</w:t>
      </w:r>
      <w:r w:rsidRPr="005F5685">
        <w:rPr>
          <w:rFonts w:asciiTheme="minorHAnsi" w:hAnsiTheme="minorHAnsi" w:cs="Calibri"/>
          <w:color w:val="222222"/>
          <w:sz w:val="22"/>
          <w:szCs w:val="22"/>
        </w:rPr>
        <w:t>C</w:t>
      </w:r>
      <w:r w:rsidR="00E2012A" w:rsidRPr="005F5685">
        <w:rPr>
          <w:rFonts w:asciiTheme="minorHAnsi" w:hAnsiTheme="minorHAnsi" w:cs="Calibri"/>
          <w:color w:val="222222"/>
          <w:sz w:val="22"/>
          <w:szCs w:val="22"/>
        </w:rPr>
        <w:t xml:space="preserve"> on site, the patient should be given prescriptions for E</w:t>
      </w:r>
      <w:r w:rsidRPr="005F5685">
        <w:rPr>
          <w:rFonts w:asciiTheme="minorHAnsi" w:hAnsiTheme="minorHAnsi" w:cs="Calibri"/>
          <w:color w:val="222222"/>
          <w:sz w:val="22"/>
          <w:szCs w:val="22"/>
        </w:rPr>
        <w:t>C</w:t>
      </w:r>
      <w:r w:rsidR="00E2012A" w:rsidRPr="005F5685">
        <w:rPr>
          <w:rFonts w:asciiTheme="minorHAnsi" w:hAnsiTheme="minorHAnsi" w:cs="Calibri"/>
          <w:color w:val="222222"/>
          <w:sz w:val="22"/>
          <w:szCs w:val="22"/>
        </w:rPr>
        <w:t xml:space="preserve"> and antinausea medications, with a list of pharmacies that stock the medication.</w:t>
      </w:r>
      <w:r w:rsidRPr="005F5685">
        <w:rPr>
          <w:rFonts w:asciiTheme="minorHAnsi" w:hAnsiTheme="minorHAnsi" w:cs="Calibri"/>
          <w:color w:val="222222"/>
          <w:sz w:val="22"/>
          <w:szCs w:val="22"/>
        </w:rPr>
        <w:t>”</w:t>
      </w:r>
      <w:r w:rsidR="00E2012A" w:rsidRPr="005F5685">
        <w:rPr>
          <w:rFonts w:asciiTheme="minorHAnsi" w:hAnsiTheme="minorHAnsi" w:cs="Calibri"/>
          <w:color w:val="222222"/>
          <w:sz w:val="22"/>
          <w:szCs w:val="22"/>
        </w:rPr>
        <w:t xml:space="preserve"> </w:t>
      </w:r>
    </w:p>
    <w:p w14:paraId="162EF498" w14:textId="17AC027F" w:rsidR="00E2012A" w:rsidRPr="005F5685" w:rsidRDefault="00DC43CD" w:rsidP="00F34564">
      <w:pPr>
        <w:pStyle w:val="NormalWeb"/>
        <w:numPr>
          <w:ilvl w:val="0"/>
          <w:numId w:val="1"/>
        </w:numPr>
        <w:shd w:val="clear" w:color="auto" w:fill="FFFFFF"/>
        <w:spacing w:before="80" w:beforeAutospacing="0" w:after="80" w:afterAutospacing="0"/>
        <w:rPr>
          <w:rFonts w:asciiTheme="minorHAnsi" w:hAnsiTheme="minorHAnsi" w:cs="Calibri"/>
          <w:color w:val="222222"/>
          <w:sz w:val="22"/>
          <w:szCs w:val="22"/>
        </w:rPr>
      </w:pPr>
      <w:r w:rsidRPr="005F5685">
        <w:rPr>
          <w:rFonts w:asciiTheme="minorHAnsi" w:hAnsiTheme="minorHAnsi" w:cs="Calibri"/>
          <w:color w:val="222222"/>
          <w:sz w:val="22"/>
          <w:szCs w:val="22"/>
        </w:rPr>
        <w:t>“</w:t>
      </w:r>
      <w:r w:rsidR="00E2012A" w:rsidRPr="005F5685">
        <w:rPr>
          <w:rFonts w:asciiTheme="minorHAnsi" w:hAnsiTheme="minorHAnsi" w:cs="Calibri"/>
          <w:color w:val="222222"/>
          <w:sz w:val="22"/>
          <w:szCs w:val="22"/>
        </w:rPr>
        <w:t xml:space="preserve">If the ED is not </w:t>
      </w:r>
      <w:proofErr w:type="spellStart"/>
      <w:r w:rsidR="00E2012A" w:rsidRPr="005F5685">
        <w:rPr>
          <w:rFonts w:asciiTheme="minorHAnsi" w:hAnsiTheme="minorHAnsi" w:cs="Calibri"/>
          <w:color w:val="222222"/>
          <w:sz w:val="22"/>
          <w:szCs w:val="22"/>
        </w:rPr>
        <w:t>wiling</w:t>
      </w:r>
      <w:proofErr w:type="spellEnd"/>
      <w:r w:rsidR="00E2012A" w:rsidRPr="005F5685">
        <w:rPr>
          <w:rFonts w:asciiTheme="minorHAnsi" w:hAnsiTheme="minorHAnsi" w:cs="Calibri"/>
          <w:color w:val="222222"/>
          <w:sz w:val="22"/>
          <w:szCs w:val="22"/>
        </w:rPr>
        <w:t xml:space="preserve"> to provided EC or write the needed prescriptions it is recommended that that patient be given local referrals to medical facility that can </w:t>
      </w:r>
      <w:r w:rsidR="00E2012A" w:rsidRPr="005F5685">
        <w:rPr>
          <w:rFonts w:asciiTheme="minorHAnsi" w:hAnsiTheme="minorHAnsi" w:cs="Calibri"/>
          <w:i/>
          <w:iCs/>
          <w:color w:val="222222"/>
          <w:sz w:val="22"/>
          <w:szCs w:val="22"/>
        </w:rPr>
        <w:t>immediately</w:t>
      </w:r>
      <w:r w:rsidR="00E2012A" w:rsidRPr="005F5685">
        <w:rPr>
          <w:rFonts w:asciiTheme="minorHAnsi" w:hAnsiTheme="minorHAnsi" w:cs="Calibri"/>
          <w:color w:val="222222"/>
          <w:sz w:val="22"/>
          <w:szCs w:val="22"/>
        </w:rPr>
        <w:t xml:space="preserve"> assist with an alternative treatment.</w:t>
      </w:r>
      <w:r w:rsidRPr="005F5685">
        <w:rPr>
          <w:rFonts w:asciiTheme="minorHAnsi" w:hAnsiTheme="minorHAnsi" w:cs="Calibri"/>
          <w:color w:val="222222"/>
          <w:sz w:val="22"/>
          <w:szCs w:val="22"/>
        </w:rPr>
        <w:t>”</w:t>
      </w:r>
    </w:p>
    <w:p w14:paraId="102B3AD0" w14:textId="77777777" w:rsidR="00F34564" w:rsidRDefault="00F34564" w:rsidP="00452A87">
      <w:pPr>
        <w:pStyle w:val="NoSpacing"/>
      </w:pPr>
    </w:p>
    <w:p w14:paraId="0D98E45F" w14:textId="01D6E406" w:rsidR="00D57C77" w:rsidRPr="00AD02B0" w:rsidRDefault="00D57C77" w:rsidP="00D57C77">
      <w:pPr>
        <w:pStyle w:val="NormalWeb"/>
        <w:shd w:val="clear" w:color="auto" w:fill="FFFFFF"/>
        <w:spacing w:before="140" w:beforeAutospacing="0" w:after="140" w:afterAutospacing="0"/>
        <w:rPr>
          <w:rFonts w:asciiTheme="minorHAnsi" w:hAnsiTheme="minorHAnsi" w:cs="Calibri"/>
          <w:b/>
          <w:bCs/>
          <w:color w:val="222222"/>
        </w:rPr>
      </w:pPr>
      <w:r w:rsidRPr="00AD02B0">
        <w:rPr>
          <w:rFonts w:asciiTheme="minorHAnsi" w:hAnsiTheme="minorHAnsi" w:cs="Calibri"/>
          <w:b/>
          <w:bCs/>
          <w:color w:val="222222"/>
        </w:rPr>
        <w:t xml:space="preserve">Governor’s Office of Crime Prevention, Youth, and Victim Services: </w:t>
      </w:r>
      <w:hyperlink r:id="rId11" w:history="1">
        <w:r w:rsidRPr="00AD02B0">
          <w:rPr>
            <w:rStyle w:val="Hyperlink"/>
            <w:rFonts w:asciiTheme="minorHAnsi" w:hAnsiTheme="minorHAnsi" w:cs="Calibri"/>
            <w:b/>
            <w:bCs/>
          </w:rPr>
          <w:t xml:space="preserve">Sexual Assault Reimbursement </w:t>
        </w:r>
        <w:proofErr w:type="gramStart"/>
        <w:r w:rsidRPr="00AD02B0">
          <w:rPr>
            <w:rStyle w:val="Hyperlink"/>
            <w:rFonts w:asciiTheme="minorHAnsi" w:hAnsiTheme="minorHAnsi" w:cs="Calibri"/>
            <w:b/>
            <w:bCs/>
          </w:rPr>
          <w:t>Unit(</w:t>
        </w:r>
        <w:proofErr w:type="gramEnd"/>
        <w:r w:rsidRPr="00AD02B0">
          <w:rPr>
            <w:rStyle w:val="Hyperlink"/>
            <w:rFonts w:asciiTheme="minorHAnsi" w:hAnsiTheme="minorHAnsi" w:cs="Calibri"/>
            <w:b/>
            <w:bCs/>
          </w:rPr>
          <w:t>SARU) Program Overview</w:t>
        </w:r>
      </w:hyperlink>
      <w:r w:rsidRPr="00AD02B0">
        <w:rPr>
          <w:rFonts w:asciiTheme="minorHAnsi" w:hAnsiTheme="minorHAnsi" w:cs="Calibri"/>
          <w:b/>
          <w:bCs/>
          <w:color w:val="222222"/>
        </w:rPr>
        <w:t xml:space="preserve"> </w:t>
      </w:r>
    </w:p>
    <w:p w14:paraId="600E488E" w14:textId="18373B48" w:rsidR="0099668E" w:rsidRPr="005F5685" w:rsidRDefault="00D57C77" w:rsidP="0068217E">
      <w:pPr>
        <w:pStyle w:val="NormalWeb"/>
        <w:shd w:val="clear" w:color="auto" w:fill="FFFFFF"/>
        <w:spacing w:before="140" w:beforeAutospacing="0" w:after="140" w:afterAutospacing="0"/>
        <w:rPr>
          <w:rFonts w:asciiTheme="minorHAnsi" w:hAnsiTheme="minorHAnsi" w:cs="Calibri"/>
          <w:color w:val="222222"/>
          <w:sz w:val="22"/>
          <w:szCs w:val="22"/>
        </w:rPr>
      </w:pPr>
      <w:r w:rsidRPr="005F5685">
        <w:rPr>
          <w:rFonts w:asciiTheme="minorHAnsi" w:hAnsiTheme="minorHAnsi" w:cs="Calibri"/>
          <w:color w:val="222222"/>
          <w:sz w:val="22"/>
          <w:szCs w:val="22"/>
        </w:rPr>
        <w:t xml:space="preserve">This page provides an overview of the SAFE reimbursement process in Maryland including access to </w:t>
      </w:r>
      <w:hyperlink r:id="rId12" w:history="1">
        <w:r w:rsidRPr="005F5685">
          <w:rPr>
            <w:rStyle w:val="Hyperlink"/>
            <w:rFonts w:asciiTheme="minorHAnsi" w:hAnsiTheme="minorHAnsi" w:cs="Calibri"/>
            <w:sz w:val="22"/>
            <w:szCs w:val="22"/>
          </w:rPr>
          <w:t>post exposure prophylaxis</w:t>
        </w:r>
      </w:hyperlink>
      <w:r w:rsidR="00DC43CD" w:rsidRPr="005F5685">
        <w:rPr>
          <w:rStyle w:val="Hyperlink"/>
          <w:rFonts w:asciiTheme="minorHAnsi" w:hAnsiTheme="minorHAnsi" w:cs="Calibri"/>
          <w:sz w:val="22"/>
          <w:szCs w:val="22"/>
        </w:rPr>
        <w:t xml:space="preserve"> (HIV Prophylaxis known as “</w:t>
      </w:r>
      <w:proofErr w:type="spellStart"/>
      <w:r w:rsidR="00DC43CD" w:rsidRPr="005F5685">
        <w:rPr>
          <w:rStyle w:val="Hyperlink"/>
          <w:rFonts w:asciiTheme="minorHAnsi" w:hAnsiTheme="minorHAnsi" w:cs="Calibri"/>
          <w:sz w:val="22"/>
          <w:szCs w:val="22"/>
        </w:rPr>
        <w:t>nPEP</w:t>
      </w:r>
      <w:proofErr w:type="spellEnd"/>
      <w:r w:rsidR="00DC43CD" w:rsidRPr="005F5685">
        <w:rPr>
          <w:rStyle w:val="Hyperlink"/>
          <w:rFonts w:asciiTheme="minorHAnsi" w:hAnsiTheme="minorHAnsi" w:cs="Calibri"/>
          <w:sz w:val="22"/>
          <w:szCs w:val="22"/>
        </w:rPr>
        <w:t>” or “PEP)</w:t>
      </w:r>
      <w:r w:rsidRPr="005F5685">
        <w:rPr>
          <w:rFonts w:asciiTheme="minorHAnsi" w:hAnsiTheme="minorHAnsi" w:cs="Calibri"/>
          <w:color w:val="222222"/>
          <w:sz w:val="22"/>
          <w:szCs w:val="22"/>
        </w:rPr>
        <w:t xml:space="preserve">. </w:t>
      </w:r>
    </w:p>
    <w:p w14:paraId="3F3377D6" w14:textId="6AD5649B" w:rsidR="00DA7E69" w:rsidRDefault="00D57C77" w:rsidP="00DA7E69">
      <w:pPr>
        <w:pStyle w:val="NormalWeb"/>
        <w:numPr>
          <w:ilvl w:val="0"/>
          <w:numId w:val="4"/>
        </w:numPr>
        <w:shd w:val="clear" w:color="auto" w:fill="FFFFFF"/>
        <w:spacing w:before="140" w:beforeAutospacing="0" w:after="140" w:afterAutospacing="0"/>
        <w:rPr>
          <w:rFonts w:asciiTheme="minorHAnsi" w:hAnsiTheme="minorHAnsi" w:cs="Calibri"/>
          <w:color w:val="222222"/>
          <w:sz w:val="22"/>
          <w:szCs w:val="22"/>
        </w:rPr>
      </w:pPr>
      <w:r w:rsidRPr="005F5685">
        <w:rPr>
          <w:rFonts w:asciiTheme="minorHAnsi" w:hAnsiTheme="minorHAnsi" w:cs="Calibri"/>
          <w:color w:val="222222"/>
          <w:sz w:val="22"/>
          <w:szCs w:val="22"/>
        </w:rPr>
        <w:t xml:space="preserve">The SAFE Reimbursement process is still in development. GOCPYVS is seeking feedback from FNEs and SAFE Program Coordinators to ensure that the process is as smooth as possible. </w:t>
      </w:r>
    </w:p>
    <w:p w14:paraId="4DB63359" w14:textId="432812EF" w:rsidR="00D57C77" w:rsidRPr="005F5685" w:rsidRDefault="00DA7E69" w:rsidP="00D57C77">
      <w:pPr>
        <w:pStyle w:val="NormalWeb"/>
        <w:numPr>
          <w:ilvl w:val="0"/>
          <w:numId w:val="4"/>
        </w:numPr>
        <w:shd w:val="clear" w:color="auto" w:fill="FFFFFF"/>
        <w:spacing w:before="140" w:beforeAutospacing="0" w:after="140" w:afterAutospacing="0"/>
        <w:rPr>
          <w:rFonts w:asciiTheme="minorHAnsi" w:hAnsiTheme="minorHAnsi" w:cs="Calibri"/>
          <w:color w:val="222222"/>
          <w:sz w:val="22"/>
          <w:szCs w:val="22"/>
        </w:rPr>
      </w:pPr>
      <w:r>
        <w:rPr>
          <w:rFonts w:asciiTheme="minorHAnsi" w:hAnsiTheme="minorHAnsi" w:cs="Calibri"/>
          <w:color w:val="222222"/>
          <w:sz w:val="22"/>
          <w:szCs w:val="22"/>
        </w:rPr>
        <w:t xml:space="preserve">If you, or your local SAFE Program, are interested in providing feedback and participating in reimbursement opportunities, please email info@mcasa.org and our staff will make sure you receive all future updates. </w:t>
      </w:r>
    </w:p>
    <w:p w14:paraId="1379BC82" w14:textId="77777777" w:rsidR="00F34564" w:rsidRDefault="00F34564" w:rsidP="00452A87">
      <w:pPr>
        <w:pStyle w:val="NoSpacing"/>
      </w:pPr>
    </w:p>
    <w:p w14:paraId="18265F90" w14:textId="28ECCF81" w:rsidR="00D57C77" w:rsidRDefault="00D57C77" w:rsidP="00D57C77">
      <w:pPr>
        <w:pStyle w:val="NormalWeb"/>
        <w:shd w:val="clear" w:color="auto" w:fill="FFFFFF"/>
        <w:spacing w:before="140" w:beforeAutospacing="0" w:after="140" w:afterAutospacing="0"/>
        <w:rPr>
          <w:rFonts w:asciiTheme="minorHAnsi" w:hAnsiTheme="minorHAnsi" w:cs="Calibri"/>
          <w:b/>
          <w:bCs/>
          <w:color w:val="222222"/>
        </w:rPr>
      </w:pPr>
      <w:r w:rsidRPr="00AD02B0">
        <w:rPr>
          <w:rFonts w:asciiTheme="minorHAnsi" w:hAnsiTheme="minorHAnsi" w:cs="Calibri"/>
          <w:b/>
          <w:bCs/>
          <w:color w:val="222222"/>
        </w:rPr>
        <w:t>Sexual Assault Evidence Kit Policy and Funding Committee Annual Reports</w:t>
      </w:r>
    </w:p>
    <w:p w14:paraId="1FE1436F" w14:textId="6FD95192" w:rsidR="0068217E" w:rsidRDefault="00DA7E69" w:rsidP="00D57C77">
      <w:pPr>
        <w:pStyle w:val="NormalWeb"/>
        <w:shd w:val="clear" w:color="auto" w:fill="FFFFFF"/>
        <w:spacing w:before="140" w:beforeAutospacing="0" w:after="140" w:afterAutospacing="0"/>
        <w:rPr>
          <w:rFonts w:asciiTheme="minorHAnsi" w:hAnsiTheme="minorHAnsi" w:cs="Calibri"/>
          <w:color w:val="222222"/>
          <w:sz w:val="22"/>
          <w:szCs w:val="22"/>
        </w:rPr>
      </w:pPr>
      <w:r>
        <w:rPr>
          <w:rFonts w:asciiTheme="minorHAnsi" w:hAnsiTheme="minorHAnsi" w:cs="Calibri"/>
          <w:color w:val="222222"/>
          <w:sz w:val="22"/>
          <w:szCs w:val="22"/>
        </w:rPr>
        <w:t xml:space="preserve">The Maryland Sexual Assault Evidence Kit Policy and Funding Committee (SAEK Committee) was established in 2017 and is responsible for the development and dissemination of best practices, recommendations, and policies regarding sexual assault evidence kit testing, retention, availability, and funding; stakeholder coordination; the shortage of forensic nurse examiners; and victim notification. The SAEK Committee is chaired by the Attorney General, or his designee, and includes members for a cross-section of professionals involved in sexual assault response including forensic nurses, prosecutors, crime lab personnel, advocates, and law enforcement. Each year the SAEK Committee issues an annual report with information on statewide efforts related to sexual assault evidence kit reform, victim notification, criminal investigations, and medical forensic care. </w:t>
      </w:r>
    </w:p>
    <w:p w14:paraId="55E865C6" w14:textId="539F7611" w:rsidR="00DA7E69" w:rsidRPr="0068217E" w:rsidRDefault="00DA7E69" w:rsidP="00D57C77">
      <w:pPr>
        <w:pStyle w:val="NormalWeb"/>
        <w:shd w:val="clear" w:color="auto" w:fill="FFFFFF"/>
        <w:spacing w:before="140" w:beforeAutospacing="0" w:after="140" w:afterAutospacing="0"/>
        <w:rPr>
          <w:rFonts w:asciiTheme="minorHAnsi" w:hAnsiTheme="minorHAnsi" w:cs="Calibri"/>
          <w:color w:val="222222"/>
          <w:sz w:val="22"/>
          <w:szCs w:val="22"/>
        </w:rPr>
      </w:pPr>
      <w:r>
        <w:rPr>
          <w:rFonts w:asciiTheme="minorHAnsi" w:hAnsiTheme="minorHAnsi" w:cs="Calibri"/>
          <w:color w:val="222222"/>
          <w:sz w:val="22"/>
          <w:szCs w:val="22"/>
        </w:rPr>
        <w:t xml:space="preserve">The reports listed below highlight the work of the </w:t>
      </w:r>
      <w:r w:rsidR="00763231">
        <w:rPr>
          <w:rFonts w:asciiTheme="minorHAnsi" w:hAnsiTheme="minorHAnsi" w:cs="Calibri"/>
          <w:color w:val="222222"/>
          <w:sz w:val="22"/>
          <w:szCs w:val="22"/>
        </w:rPr>
        <w:t xml:space="preserve">Availability of Exams and Shortage of Forensic Nurse Examiners Subcommittee (FNE Subcommittee) and best practices related to the provision of SAFEs in Maryland. </w:t>
      </w:r>
    </w:p>
    <w:p w14:paraId="238C08DF" w14:textId="70A3AAB3" w:rsidR="00EF02E0" w:rsidRPr="005F5685" w:rsidRDefault="00F865A5" w:rsidP="00D57C77">
      <w:pPr>
        <w:pStyle w:val="ListParagraph"/>
        <w:numPr>
          <w:ilvl w:val="0"/>
          <w:numId w:val="5"/>
        </w:numPr>
      </w:pPr>
      <w:hyperlink r:id="rId13" w:history="1">
        <w:r w:rsidR="00D57C77" w:rsidRPr="005F5685">
          <w:rPr>
            <w:rStyle w:val="Hyperlink"/>
          </w:rPr>
          <w:t>SAEK Committee 2019 Annual Report</w:t>
        </w:r>
      </w:hyperlink>
      <w:r w:rsidR="00D57C77" w:rsidRPr="005F5685">
        <w:t xml:space="preserve"> </w:t>
      </w:r>
    </w:p>
    <w:p w14:paraId="59FB69B0" w14:textId="51D895AE" w:rsidR="00D57C77" w:rsidRPr="005F5685" w:rsidRDefault="00D57C77" w:rsidP="00D57C77">
      <w:pPr>
        <w:pStyle w:val="ListParagraph"/>
        <w:numPr>
          <w:ilvl w:val="1"/>
          <w:numId w:val="5"/>
        </w:numPr>
      </w:pPr>
      <w:r w:rsidRPr="005F5685">
        <w:t xml:space="preserve">FNE Subcommittee </w:t>
      </w:r>
      <w:r w:rsidR="00F438BE" w:rsidRPr="005F5685">
        <w:t xml:space="preserve">recommendation regarding advocate presence during sexual assault forensic exams (pg. 24 – 25). </w:t>
      </w:r>
    </w:p>
    <w:p w14:paraId="7CF30967" w14:textId="4C839FA6" w:rsidR="00F438BE" w:rsidRPr="005F5685" w:rsidRDefault="00F865A5" w:rsidP="00F438BE">
      <w:pPr>
        <w:pStyle w:val="ListParagraph"/>
        <w:numPr>
          <w:ilvl w:val="0"/>
          <w:numId w:val="5"/>
        </w:numPr>
      </w:pPr>
      <w:hyperlink r:id="rId14" w:history="1">
        <w:r w:rsidR="00F438BE" w:rsidRPr="005F5685">
          <w:rPr>
            <w:rStyle w:val="Hyperlink"/>
          </w:rPr>
          <w:t>SAEK Committee 2020 Annual Report</w:t>
        </w:r>
      </w:hyperlink>
    </w:p>
    <w:p w14:paraId="670B8EDE" w14:textId="77A44D35" w:rsidR="00F438BE" w:rsidRPr="005F5685" w:rsidRDefault="00F438BE" w:rsidP="00F438BE">
      <w:pPr>
        <w:pStyle w:val="ListParagraph"/>
        <w:numPr>
          <w:ilvl w:val="1"/>
          <w:numId w:val="5"/>
        </w:numPr>
      </w:pPr>
      <w:r w:rsidRPr="005F5685">
        <w:t xml:space="preserve">SAFE Program policies regarding standard of follow-up care and victim outreach (pg. 29 – 30) </w:t>
      </w:r>
    </w:p>
    <w:p w14:paraId="5237401E" w14:textId="339E6150" w:rsidR="00F438BE" w:rsidRPr="005F5685" w:rsidRDefault="00F438BE" w:rsidP="00F438BE">
      <w:pPr>
        <w:pStyle w:val="ListParagraph"/>
        <w:numPr>
          <w:ilvl w:val="2"/>
          <w:numId w:val="5"/>
        </w:numPr>
      </w:pPr>
      <w:r w:rsidRPr="005F5685">
        <w:lastRenderedPageBreak/>
        <w:t xml:space="preserve">This report includes 7 recommendations including a timeframe for conducting follow-up outreach, protecting patient privacy and safety, coordinating outreach with SART members, and providing patients with law enforcement reporting options, including an anonymous consult when possible. </w:t>
      </w:r>
    </w:p>
    <w:p w14:paraId="5E0815B3" w14:textId="183CBFC0" w:rsidR="00F438BE" w:rsidRPr="005F5685" w:rsidRDefault="00F865A5" w:rsidP="00F438BE">
      <w:pPr>
        <w:pStyle w:val="ListParagraph"/>
        <w:numPr>
          <w:ilvl w:val="0"/>
          <w:numId w:val="5"/>
        </w:numPr>
      </w:pPr>
      <w:hyperlink r:id="rId15" w:history="1">
        <w:r w:rsidR="00F438BE" w:rsidRPr="005F5685">
          <w:rPr>
            <w:rStyle w:val="Hyperlink"/>
          </w:rPr>
          <w:t>SAEK Committee 2021 Annual Report</w:t>
        </w:r>
      </w:hyperlink>
    </w:p>
    <w:p w14:paraId="16B09DBE" w14:textId="5D25A83A" w:rsidR="00F438BE" w:rsidRPr="005F5685" w:rsidRDefault="00F438BE" w:rsidP="00F438BE">
      <w:pPr>
        <w:pStyle w:val="ListParagraph"/>
        <w:numPr>
          <w:ilvl w:val="1"/>
          <w:numId w:val="5"/>
        </w:numPr>
      </w:pPr>
      <w:r w:rsidRPr="005F5685">
        <w:t>Recommendations to help ensure widespread compliance with SAEK policies</w:t>
      </w:r>
      <w:r w:rsidR="00DC43CD" w:rsidRPr="005F5685">
        <w:t xml:space="preserve"> and statutory/regulatory available in a Sexual </w:t>
      </w:r>
      <w:r w:rsidRPr="005F5685">
        <w:t xml:space="preserve">Assault Forensic Exam Resource Guide for SAFE Programs. The resource guide contains 3 documents (listed on pg. 29 – 30) including the following: </w:t>
      </w:r>
    </w:p>
    <w:p w14:paraId="0C23BF77" w14:textId="37336EC6" w:rsidR="00F438BE" w:rsidRPr="005F5685" w:rsidRDefault="00F438BE" w:rsidP="00F438BE">
      <w:pPr>
        <w:pStyle w:val="ListParagraph"/>
        <w:numPr>
          <w:ilvl w:val="2"/>
          <w:numId w:val="5"/>
        </w:numPr>
      </w:pPr>
      <w:r w:rsidRPr="005F5685">
        <w:t>Maryland Regulatory and Statutory Information that Health Care Providers Should Provide/Convey to Sexual Assault Victims</w:t>
      </w:r>
      <w:r w:rsidR="006A23D6" w:rsidRPr="005F5685">
        <w:t xml:space="preserve"> (Appendix G: pg. 55 – 59).</w:t>
      </w:r>
    </w:p>
    <w:p w14:paraId="4B2D7BEB" w14:textId="23CA8010" w:rsidR="006A23D6" w:rsidRPr="005F5685" w:rsidRDefault="006A23D6" w:rsidP="006A23D6">
      <w:pPr>
        <w:pStyle w:val="ListParagraph"/>
        <w:numPr>
          <w:ilvl w:val="3"/>
          <w:numId w:val="5"/>
        </w:numPr>
      </w:pPr>
      <w:r w:rsidRPr="005F5685">
        <w:t xml:space="preserve">This document was used to guide the development of the </w:t>
      </w:r>
      <w:r w:rsidRPr="005F5685">
        <w:rPr>
          <w:i/>
          <w:iCs/>
        </w:rPr>
        <w:t>Understanding Your Options</w:t>
      </w:r>
      <w:r w:rsidRPr="005F5685">
        <w:t xml:space="preserve">: </w:t>
      </w:r>
      <w:r w:rsidRPr="005F5685">
        <w:rPr>
          <w:i/>
          <w:iCs/>
        </w:rPr>
        <w:t xml:space="preserve">An Overview of the Sexual Assault Forensic Exam Process </w:t>
      </w:r>
      <w:r w:rsidRPr="005F5685">
        <w:t>and</w:t>
      </w:r>
      <w:r w:rsidRPr="005F5685">
        <w:rPr>
          <w:i/>
          <w:iCs/>
        </w:rPr>
        <w:t xml:space="preserve"> Your Sexual Assault Evidence Kit: Know Your Rights </w:t>
      </w:r>
      <w:r w:rsidRPr="005F5685">
        <w:t xml:space="preserve">brochure (listed below). If programs implement the use of these two documents, all statutory and regulatory requirements will be met. </w:t>
      </w:r>
    </w:p>
    <w:p w14:paraId="4C9F7377" w14:textId="72A58111" w:rsidR="00F438BE" w:rsidRPr="005F5685" w:rsidRDefault="00F438BE" w:rsidP="00F438BE">
      <w:pPr>
        <w:pStyle w:val="ListParagraph"/>
        <w:numPr>
          <w:ilvl w:val="2"/>
          <w:numId w:val="5"/>
        </w:numPr>
      </w:pPr>
      <w:r w:rsidRPr="005F5685">
        <w:t xml:space="preserve">Model </w:t>
      </w:r>
      <w:r w:rsidR="006A23D6" w:rsidRPr="005F5685">
        <w:t>Information</w:t>
      </w:r>
      <w:r w:rsidRPr="005F5685">
        <w:t xml:space="preserve"> Document: </w:t>
      </w:r>
      <w:r w:rsidRPr="005F5685">
        <w:rPr>
          <w:b/>
          <w:bCs/>
        </w:rPr>
        <w:t>Understanding Your Options: An Overview of the Sexual Assault Forensic Exam Process</w:t>
      </w:r>
      <w:r w:rsidR="006A23D6" w:rsidRPr="005F5685">
        <w:t xml:space="preserve"> (Appendix H: pg. 60 -65)</w:t>
      </w:r>
    </w:p>
    <w:p w14:paraId="292149D6" w14:textId="15C4E48A" w:rsidR="006A23D6" w:rsidRPr="005F5685" w:rsidRDefault="006A23D6" w:rsidP="006A23D6">
      <w:pPr>
        <w:pStyle w:val="ListParagraph"/>
        <w:numPr>
          <w:ilvl w:val="3"/>
          <w:numId w:val="5"/>
        </w:numPr>
      </w:pPr>
      <w:r w:rsidRPr="005F5685">
        <w:t xml:space="preserve">The FNE Subcommittee Chairs aim to invite the SAFE Coordinators from every SAFE Program in Maryland to subcommittee meetings. All coordinators are encouraged to participate to remain up to date with statewide efforts and policy updates. </w:t>
      </w:r>
    </w:p>
    <w:p w14:paraId="164F3D56" w14:textId="10D26626" w:rsidR="006A23D6" w:rsidRPr="005E5B02" w:rsidRDefault="00F438BE" w:rsidP="005E5B02">
      <w:pPr>
        <w:pStyle w:val="ListParagraph"/>
        <w:numPr>
          <w:ilvl w:val="2"/>
          <w:numId w:val="5"/>
        </w:numPr>
      </w:pPr>
      <w:r w:rsidRPr="005F5685">
        <w:rPr>
          <w:b/>
          <w:bCs/>
        </w:rPr>
        <w:t xml:space="preserve">Your Sexual Assault Evidence Kit: Know Your Rights </w:t>
      </w:r>
      <w:r w:rsidRPr="005E5B02">
        <w:rPr>
          <w:b/>
          <w:bCs/>
        </w:rPr>
        <w:t>brochure</w:t>
      </w:r>
      <w:r w:rsidR="006A23D6" w:rsidRPr="005E5B02">
        <w:t xml:space="preserve"> </w:t>
      </w:r>
      <w:r w:rsidR="005E5B02" w:rsidRPr="005E5B02">
        <w:t>(</w:t>
      </w:r>
      <w:r w:rsidR="005E5B02" w:rsidRPr="005E5B02">
        <w:t>Appendix I: pg. 66 -67</w:t>
      </w:r>
      <w:r w:rsidR="005E5B02" w:rsidRPr="005E5B02">
        <w:t>)</w:t>
      </w:r>
    </w:p>
    <w:p w14:paraId="4BE1923C" w14:textId="2C797B15" w:rsidR="00F438BE" w:rsidRPr="005E5B02" w:rsidRDefault="006A23D6" w:rsidP="006A23D6">
      <w:pPr>
        <w:pStyle w:val="ListParagraph"/>
        <w:numPr>
          <w:ilvl w:val="3"/>
          <w:numId w:val="5"/>
        </w:numPr>
      </w:pPr>
      <w:r w:rsidRPr="005E5B02">
        <w:t xml:space="preserve">The brochure will </w:t>
      </w:r>
      <w:r w:rsidR="005E5B02" w:rsidRPr="005E5B02">
        <w:t xml:space="preserve">soon </w:t>
      </w:r>
      <w:r w:rsidRPr="005E5B02">
        <w:t>be available, free of cost, to all SAFE Programs, Rape Crisis Centers and Advocacy Programs, and Law Enforcement Agencies.</w:t>
      </w:r>
    </w:p>
    <w:sectPr w:rsidR="00F438BE" w:rsidRPr="005E5B02" w:rsidSect="0068217E">
      <w:headerReference w:type="default" r:id="rId16"/>
      <w:headerReference w:type="first" r:id="rId17"/>
      <w:footerReference w:type="first" r:id="rId18"/>
      <w:pgSz w:w="12240" w:h="15840"/>
      <w:pgMar w:top="720" w:right="720" w:bottom="90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7CB68" w14:textId="77777777" w:rsidR="000A7A25" w:rsidRDefault="000A7A25" w:rsidP="005F5685">
      <w:pPr>
        <w:spacing w:after="0" w:line="240" w:lineRule="auto"/>
      </w:pPr>
      <w:r>
        <w:separator/>
      </w:r>
    </w:p>
  </w:endnote>
  <w:endnote w:type="continuationSeparator" w:id="0">
    <w:p w14:paraId="047E299B" w14:textId="77777777" w:rsidR="000A7A25" w:rsidRDefault="000A7A25" w:rsidP="005F5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D1667" w14:textId="0C27324B" w:rsidR="00973304" w:rsidRDefault="00973304" w:rsidP="005E5B02">
    <w:pPr>
      <w:pStyle w:val="Footer"/>
      <w:jc w:val="right"/>
    </w:pPr>
    <w:r>
      <w:t>Updated May 24,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9E57C" w14:textId="77777777" w:rsidR="000A7A25" w:rsidRDefault="000A7A25" w:rsidP="005F5685">
      <w:pPr>
        <w:spacing w:after="0" w:line="240" w:lineRule="auto"/>
      </w:pPr>
      <w:r>
        <w:separator/>
      </w:r>
    </w:p>
  </w:footnote>
  <w:footnote w:type="continuationSeparator" w:id="0">
    <w:p w14:paraId="7A865E0C" w14:textId="77777777" w:rsidR="000A7A25" w:rsidRDefault="000A7A25" w:rsidP="005F56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D934B" w14:textId="0BDEF95D" w:rsidR="005F5685" w:rsidRPr="005F5685" w:rsidRDefault="005F5685" w:rsidP="005F5685">
    <w:pPr>
      <w:autoSpaceDE w:val="0"/>
      <w:autoSpaceDN w:val="0"/>
      <w:adjustRightInd w:val="0"/>
      <w:spacing w:after="0"/>
      <w:rPr>
        <w:color w:val="000000"/>
        <w:sz w:val="18"/>
        <w:szCs w:val="18"/>
        <w:lang w:val="es-41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47F72" w14:textId="77777777" w:rsidR="005F5685" w:rsidRDefault="005F5685" w:rsidP="005F5685">
    <w:pPr>
      <w:tabs>
        <w:tab w:val="left" w:pos="1710"/>
      </w:tabs>
      <w:autoSpaceDE w:val="0"/>
      <w:autoSpaceDN w:val="0"/>
      <w:adjustRightInd w:val="0"/>
      <w:rPr>
        <w:b/>
        <w:bCs/>
        <w:color w:val="000000"/>
        <w:sz w:val="18"/>
        <w:szCs w:val="18"/>
      </w:rPr>
    </w:pPr>
    <w:r>
      <w:rPr>
        <w:noProof/>
      </w:rPr>
      <w:drawing>
        <wp:anchor distT="0" distB="0" distL="114300" distR="114300" simplePos="0" relativeHeight="251662336" behindDoc="1" locked="0" layoutInCell="1" allowOverlap="1" wp14:anchorId="13474065" wp14:editId="25096F10">
          <wp:simplePos x="0" y="0"/>
          <wp:positionH relativeFrom="margin">
            <wp:posOffset>-38100</wp:posOffset>
          </wp:positionH>
          <wp:positionV relativeFrom="paragraph">
            <wp:posOffset>-107950</wp:posOffset>
          </wp:positionV>
          <wp:extent cx="2436495" cy="765175"/>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ASA-logo-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36495" cy="765175"/>
                  </a:xfrm>
                  <a:prstGeom prst="rect">
                    <a:avLst/>
                  </a:prstGeom>
                </pic:spPr>
              </pic:pic>
            </a:graphicData>
          </a:graphic>
          <wp14:sizeRelH relativeFrom="margin">
            <wp14:pctWidth>0</wp14:pctWidth>
          </wp14:sizeRelH>
          <wp14:sizeRelV relativeFrom="margin">
            <wp14:pctHeight>0</wp14:pctHeight>
          </wp14:sizeRelV>
        </wp:anchor>
      </w:drawing>
    </w:r>
  </w:p>
  <w:p w14:paraId="3DC9EE4A" w14:textId="77777777" w:rsidR="005F5685" w:rsidRDefault="005F5685" w:rsidP="005F5685">
    <w:pPr>
      <w:tabs>
        <w:tab w:val="left" w:pos="1710"/>
      </w:tabs>
      <w:autoSpaceDE w:val="0"/>
      <w:autoSpaceDN w:val="0"/>
      <w:adjustRightInd w:val="0"/>
      <w:rPr>
        <w:b/>
        <w:bCs/>
        <w:color w:val="000000"/>
        <w:sz w:val="18"/>
        <w:szCs w:val="18"/>
      </w:rPr>
    </w:pPr>
  </w:p>
  <w:p w14:paraId="06C7575E" w14:textId="77777777" w:rsidR="005F5685" w:rsidRDefault="005F5685" w:rsidP="005F5685">
    <w:pPr>
      <w:tabs>
        <w:tab w:val="left" w:pos="1710"/>
      </w:tabs>
      <w:autoSpaceDE w:val="0"/>
      <w:autoSpaceDN w:val="0"/>
      <w:adjustRightInd w:val="0"/>
      <w:rPr>
        <w:b/>
        <w:bCs/>
        <w:color w:val="000000"/>
        <w:sz w:val="18"/>
        <w:szCs w:val="18"/>
      </w:rPr>
    </w:pPr>
  </w:p>
  <w:p w14:paraId="286F5364" w14:textId="77777777" w:rsidR="005F5685" w:rsidRPr="00141D90" w:rsidRDefault="005F5685" w:rsidP="005F5685">
    <w:pPr>
      <w:tabs>
        <w:tab w:val="left" w:pos="1710"/>
      </w:tabs>
      <w:autoSpaceDE w:val="0"/>
      <w:autoSpaceDN w:val="0"/>
      <w:adjustRightInd w:val="0"/>
      <w:rPr>
        <w:b/>
        <w:bCs/>
        <w:color w:val="000000"/>
        <w:sz w:val="18"/>
        <w:szCs w:val="18"/>
      </w:rPr>
    </w:pPr>
    <w:r w:rsidRPr="00141D90">
      <w:rPr>
        <w:b/>
        <w:bCs/>
        <w:color w:val="000000"/>
        <w:sz w:val="18"/>
        <w:szCs w:val="18"/>
      </w:rPr>
      <w:t xml:space="preserve">Working to end sexual violence in </w:t>
    </w:r>
    <w:proofErr w:type="gramStart"/>
    <w:r w:rsidRPr="00141D90">
      <w:rPr>
        <w:b/>
        <w:bCs/>
        <w:color w:val="000000"/>
        <w:sz w:val="18"/>
        <w:szCs w:val="18"/>
      </w:rPr>
      <w:t>Maryland</w:t>
    </w:r>
    <w:proofErr w:type="gramEnd"/>
  </w:p>
  <w:p w14:paraId="51DEFD8B" w14:textId="77777777" w:rsidR="005F5685" w:rsidRPr="00141D90" w:rsidRDefault="005F5685" w:rsidP="005F5685">
    <w:pPr>
      <w:tabs>
        <w:tab w:val="left" w:pos="1710"/>
      </w:tabs>
      <w:autoSpaceDE w:val="0"/>
      <w:autoSpaceDN w:val="0"/>
      <w:adjustRightInd w:val="0"/>
      <w:spacing w:after="0"/>
      <w:rPr>
        <w:rFonts w:ascii="Calibri" w:hAnsi="Calibri" w:cs="Calibri"/>
        <w:b/>
        <w:bCs/>
        <w:color w:val="000000"/>
        <w:sz w:val="18"/>
        <w:szCs w:val="18"/>
      </w:rPr>
    </w:pPr>
    <w:r w:rsidRPr="00141D90">
      <w:rPr>
        <w:rFonts w:ascii="Calibri" w:hAnsi="Calibri" w:cs="Calibri"/>
        <w:noProof/>
        <w:color w:val="000000"/>
      </w:rPr>
      <mc:AlternateContent>
        <mc:Choice Requires="wps">
          <w:drawing>
            <wp:anchor distT="0" distB="0" distL="114300" distR="114300" simplePos="0" relativeHeight="251663360" behindDoc="0" locked="0" layoutInCell="1" allowOverlap="1" wp14:anchorId="11A412A0" wp14:editId="5FEC8F2D">
              <wp:simplePos x="0" y="0"/>
              <wp:positionH relativeFrom="column">
                <wp:posOffset>-7620</wp:posOffset>
              </wp:positionH>
              <wp:positionV relativeFrom="paragraph">
                <wp:posOffset>43180</wp:posOffset>
              </wp:positionV>
              <wp:extent cx="6728460" cy="15240"/>
              <wp:effectExtent l="0" t="0" r="34290" b="22860"/>
              <wp:wrapNone/>
              <wp:docPr id="4" name="Straight Connector 4"/>
              <wp:cNvGraphicFramePr/>
              <a:graphic xmlns:a="http://schemas.openxmlformats.org/drawingml/2006/main">
                <a:graphicData uri="http://schemas.microsoft.com/office/word/2010/wordprocessingShape">
                  <wps:wsp>
                    <wps:cNvCnPr/>
                    <wps:spPr>
                      <a:xfrm flipV="1">
                        <a:off x="0" y="0"/>
                        <a:ext cx="6728460" cy="15240"/>
                      </a:xfrm>
                      <a:prstGeom prst="line">
                        <a:avLst/>
                      </a:prstGeom>
                      <a:noFill/>
                      <a:ln w="15875" cap="flat" cmpd="sng" algn="ctr">
                        <a:solidFill>
                          <a:srgbClr val="009ED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AB7E897" id="Straight Connector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3.4pt" to="529.2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" strokecolor="#009ed6" strokeweight="1.25pt"/>
          </w:pict>
        </mc:Fallback>
      </mc:AlternateContent>
    </w:r>
  </w:p>
  <w:p w14:paraId="72B18BA5" w14:textId="113DA078" w:rsidR="005F5685" w:rsidRPr="00141D90" w:rsidRDefault="005F5685" w:rsidP="005F5685">
    <w:pPr>
      <w:autoSpaceDE w:val="0"/>
      <w:autoSpaceDN w:val="0"/>
      <w:adjustRightInd w:val="0"/>
      <w:spacing w:after="0"/>
      <w:rPr>
        <w:color w:val="000000"/>
        <w:sz w:val="18"/>
        <w:szCs w:val="18"/>
      </w:rPr>
    </w:pPr>
    <w:r w:rsidRPr="00141D90">
      <w:rPr>
        <w:color w:val="000000"/>
        <w:sz w:val="18"/>
        <w:szCs w:val="18"/>
      </w:rPr>
      <w:t xml:space="preserve"> P.O. Box 8782                                                                                                                                         </w:t>
    </w:r>
    <w:r>
      <w:rPr>
        <w:color w:val="000000"/>
        <w:sz w:val="18"/>
        <w:szCs w:val="18"/>
      </w:rPr>
      <w:tab/>
    </w:r>
    <w:r>
      <w:rPr>
        <w:color w:val="000000"/>
        <w:sz w:val="18"/>
        <w:szCs w:val="18"/>
      </w:rPr>
      <w:tab/>
    </w:r>
    <w:r w:rsidRPr="00141D90">
      <w:rPr>
        <w:color w:val="000000"/>
        <w:sz w:val="18"/>
        <w:szCs w:val="18"/>
      </w:rPr>
      <w:t xml:space="preserve">Phone: 301-565-2277 </w:t>
    </w:r>
  </w:p>
  <w:p w14:paraId="20472417" w14:textId="0441DD62" w:rsidR="005F5685" w:rsidRPr="00141D90" w:rsidRDefault="005F5685" w:rsidP="005F5685">
    <w:pPr>
      <w:autoSpaceDE w:val="0"/>
      <w:autoSpaceDN w:val="0"/>
      <w:adjustRightInd w:val="0"/>
      <w:spacing w:after="0"/>
      <w:rPr>
        <w:color w:val="000000"/>
        <w:sz w:val="18"/>
        <w:szCs w:val="18"/>
      </w:rPr>
    </w:pPr>
    <w:r w:rsidRPr="00141D90">
      <w:rPr>
        <w:color w:val="000000"/>
        <w:sz w:val="18"/>
        <w:szCs w:val="18"/>
      </w:rPr>
      <w:t xml:space="preserve"> Silver Spring, MD 20907 </w:t>
    </w:r>
    <w:r w:rsidRPr="00141D90">
      <w:rPr>
        <w:color w:val="000000"/>
        <w:sz w:val="18"/>
        <w:szCs w:val="18"/>
      </w:rPr>
      <w:tab/>
    </w:r>
    <w:r w:rsidRPr="00141D90">
      <w:rPr>
        <w:color w:val="000000"/>
        <w:sz w:val="18"/>
        <w:szCs w:val="18"/>
      </w:rPr>
      <w:tab/>
    </w:r>
    <w:r w:rsidRPr="00141D90">
      <w:rPr>
        <w:color w:val="000000"/>
        <w:sz w:val="18"/>
        <w:szCs w:val="18"/>
      </w:rPr>
      <w:tab/>
    </w:r>
    <w:r w:rsidRPr="00141D90">
      <w:rPr>
        <w:color w:val="000000"/>
        <w:sz w:val="18"/>
        <w:szCs w:val="18"/>
      </w:rPr>
      <w:tab/>
    </w:r>
    <w:r w:rsidRPr="00141D90">
      <w:rPr>
        <w:color w:val="000000"/>
        <w:sz w:val="18"/>
        <w:szCs w:val="18"/>
      </w:rPr>
      <w:tab/>
      <w:t xml:space="preserve">                                       </w:t>
    </w:r>
    <w:r>
      <w:rPr>
        <w:color w:val="000000"/>
        <w:sz w:val="18"/>
        <w:szCs w:val="18"/>
      </w:rPr>
      <w:tab/>
    </w:r>
    <w:r>
      <w:rPr>
        <w:color w:val="000000"/>
        <w:sz w:val="18"/>
        <w:szCs w:val="18"/>
      </w:rPr>
      <w:tab/>
    </w:r>
    <w:r w:rsidRPr="00141D90">
      <w:rPr>
        <w:color w:val="000000"/>
        <w:sz w:val="18"/>
        <w:szCs w:val="18"/>
      </w:rPr>
      <w:t xml:space="preserve">Fax: 301-565-3619 </w:t>
    </w:r>
  </w:p>
  <w:p w14:paraId="38C8BDDF" w14:textId="461A71B2" w:rsidR="005F5685" w:rsidRPr="005F5685" w:rsidRDefault="005F5685" w:rsidP="005F5685">
    <w:pPr>
      <w:autoSpaceDE w:val="0"/>
      <w:autoSpaceDN w:val="0"/>
      <w:adjustRightInd w:val="0"/>
      <w:spacing w:after="0"/>
      <w:rPr>
        <w:color w:val="000000"/>
        <w:sz w:val="18"/>
        <w:szCs w:val="18"/>
        <w:lang w:val="es-419"/>
      </w:rPr>
    </w:pPr>
    <w:r w:rsidRPr="00141D90">
      <w:rPr>
        <w:color w:val="000000"/>
        <w:sz w:val="18"/>
        <w:szCs w:val="18"/>
        <w:lang w:val="es-419"/>
      </w:rPr>
      <w:t xml:space="preserve"> </w:t>
    </w:r>
    <w:hyperlink r:id="rId2" w:history="1">
      <w:r w:rsidRPr="00141D90">
        <w:rPr>
          <w:sz w:val="18"/>
          <w:szCs w:val="18"/>
          <w:lang w:val="es-419"/>
        </w:rPr>
        <w:t>www.mcasa.org</w:t>
      </w:r>
    </w:hyperlink>
    <w:r w:rsidRPr="00141D90">
      <w:rPr>
        <w:sz w:val="18"/>
        <w:szCs w:val="18"/>
        <w:lang w:val="es-419"/>
      </w:rPr>
      <w:tab/>
    </w:r>
    <w:r w:rsidRPr="00141D90">
      <w:rPr>
        <w:color w:val="000000"/>
        <w:sz w:val="18"/>
        <w:szCs w:val="18"/>
        <w:lang w:val="es-419"/>
      </w:rPr>
      <w:tab/>
    </w:r>
    <w:r w:rsidRPr="00141D90">
      <w:rPr>
        <w:color w:val="000000"/>
        <w:sz w:val="18"/>
        <w:szCs w:val="18"/>
        <w:lang w:val="es-419"/>
      </w:rPr>
      <w:tab/>
    </w:r>
    <w:r w:rsidRPr="00141D90">
      <w:rPr>
        <w:color w:val="000000"/>
        <w:sz w:val="18"/>
        <w:szCs w:val="18"/>
        <w:lang w:val="es-419"/>
      </w:rPr>
      <w:tab/>
    </w:r>
    <w:r w:rsidRPr="00141D90">
      <w:rPr>
        <w:color w:val="000000"/>
        <w:sz w:val="18"/>
        <w:szCs w:val="18"/>
        <w:lang w:val="es-419"/>
      </w:rPr>
      <w:tab/>
    </w:r>
    <w:r w:rsidRPr="00141D90">
      <w:rPr>
        <w:color w:val="000000"/>
        <w:sz w:val="18"/>
        <w:szCs w:val="18"/>
        <w:lang w:val="es-419"/>
      </w:rPr>
      <w:tab/>
      <w:t xml:space="preserve">                    </w:t>
    </w:r>
    <w:r w:rsidRPr="00141D90">
      <w:rPr>
        <w:color w:val="000000"/>
        <w:sz w:val="18"/>
        <w:szCs w:val="18"/>
        <w:lang w:val="es-419"/>
      </w:rPr>
      <w:tab/>
      <w:t xml:space="preserve">    </w:t>
    </w:r>
    <w:r>
      <w:rPr>
        <w:color w:val="000000"/>
        <w:sz w:val="18"/>
        <w:szCs w:val="18"/>
        <w:lang w:val="es-419"/>
      </w:rPr>
      <w:tab/>
    </w:r>
    <w:r>
      <w:rPr>
        <w:color w:val="000000"/>
        <w:sz w:val="18"/>
        <w:szCs w:val="18"/>
        <w:lang w:val="es-419"/>
      </w:rPr>
      <w:tab/>
    </w:r>
    <w:r w:rsidRPr="00141D90">
      <w:rPr>
        <w:color w:val="000000"/>
        <w:sz w:val="18"/>
        <w:szCs w:val="18"/>
        <w:lang w:val="es-419"/>
      </w:rPr>
      <w:t>SALI (legal): 301-565-2277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14B14"/>
    <w:multiLevelType w:val="hybridMultilevel"/>
    <w:tmpl w:val="5090FA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FB7510"/>
    <w:multiLevelType w:val="hybridMultilevel"/>
    <w:tmpl w:val="4F98D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7D1ED9"/>
    <w:multiLevelType w:val="hybridMultilevel"/>
    <w:tmpl w:val="57140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61492F"/>
    <w:multiLevelType w:val="hybridMultilevel"/>
    <w:tmpl w:val="BE8694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54CC4C17"/>
    <w:multiLevelType w:val="hybridMultilevel"/>
    <w:tmpl w:val="C0D684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68E"/>
    <w:rsid w:val="000A7A25"/>
    <w:rsid w:val="00115CB9"/>
    <w:rsid w:val="00452A87"/>
    <w:rsid w:val="004A297F"/>
    <w:rsid w:val="005E5B02"/>
    <w:rsid w:val="005F5685"/>
    <w:rsid w:val="0068217E"/>
    <w:rsid w:val="006A23D6"/>
    <w:rsid w:val="00763231"/>
    <w:rsid w:val="007C60B0"/>
    <w:rsid w:val="00806260"/>
    <w:rsid w:val="00853CD8"/>
    <w:rsid w:val="009056D1"/>
    <w:rsid w:val="00925B59"/>
    <w:rsid w:val="00943162"/>
    <w:rsid w:val="00946E90"/>
    <w:rsid w:val="00973304"/>
    <w:rsid w:val="0099668E"/>
    <w:rsid w:val="00AD02B0"/>
    <w:rsid w:val="00CB34AB"/>
    <w:rsid w:val="00D57C77"/>
    <w:rsid w:val="00DA7E69"/>
    <w:rsid w:val="00DC43CD"/>
    <w:rsid w:val="00E2012A"/>
    <w:rsid w:val="00E969F6"/>
    <w:rsid w:val="00EF02E0"/>
    <w:rsid w:val="00F34564"/>
    <w:rsid w:val="00F43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33A147"/>
  <w15:chartTrackingRefBased/>
  <w15:docId w15:val="{4F787962-211D-497F-BB66-DE56DABA2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6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66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9668E"/>
    <w:rPr>
      <w:color w:val="0000FF"/>
      <w:u w:val="single"/>
    </w:rPr>
  </w:style>
  <w:style w:type="character" w:styleId="FollowedHyperlink">
    <w:name w:val="FollowedHyperlink"/>
    <w:basedOn w:val="DefaultParagraphFont"/>
    <w:uiPriority w:val="99"/>
    <w:semiHidden/>
    <w:unhideWhenUsed/>
    <w:rsid w:val="0099668E"/>
    <w:rPr>
      <w:color w:val="954F72" w:themeColor="followedHyperlink"/>
      <w:u w:val="single"/>
    </w:rPr>
  </w:style>
  <w:style w:type="character" w:styleId="UnresolvedMention">
    <w:name w:val="Unresolved Mention"/>
    <w:basedOn w:val="DefaultParagraphFont"/>
    <w:uiPriority w:val="99"/>
    <w:semiHidden/>
    <w:unhideWhenUsed/>
    <w:rsid w:val="00D57C77"/>
    <w:rPr>
      <w:color w:val="605E5C"/>
      <w:shd w:val="clear" w:color="auto" w:fill="E1DFDD"/>
    </w:rPr>
  </w:style>
  <w:style w:type="paragraph" w:styleId="ListParagraph">
    <w:name w:val="List Paragraph"/>
    <w:basedOn w:val="Normal"/>
    <w:uiPriority w:val="34"/>
    <w:qFormat/>
    <w:rsid w:val="00D57C77"/>
    <w:pPr>
      <w:ind w:left="720"/>
      <w:contextualSpacing/>
    </w:pPr>
  </w:style>
  <w:style w:type="paragraph" w:styleId="Header">
    <w:name w:val="header"/>
    <w:basedOn w:val="Normal"/>
    <w:link w:val="HeaderChar"/>
    <w:uiPriority w:val="99"/>
    <w:unhideWhenUsed/>
    <w:rsid w:val="005F56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685"/>
  </w:style>
  <w:style w:type="paragraph" w:styleId="Footer">
    <w:name w:val="footer"/>
    <w:basedOn w:val="Normal"/>
    <w:link w:val="FooterChar"/>
    <w:uiPriority w:val="99"/>
    <w:unhideWhenUsed/>
    <w:rsid w:val="005F56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685"/>
  </w:style>
  <w:style w:type="paragraph" w:styleId="NoSpacing">
    <w:name w:val="No Spacing"/>
    <w:uiPriority w:val="1"/>
    <w:qFormat/>
    <w:rsid w:val="00CB34AB"/>
    <w:pPr>
      <w:spacing w:after="0" w:line="240" w:lineRule="auto"/>
    </w:pPr>
  </w:style>
  <w:style w:type="character" w:styleId="CommentReference">
    <w:name w:val="annotation reference"/>
    <w:basedOn w:val="DefaultParagraphFont"/>
    <w:uiPriority w:val="99"/>
    <w:semiHidden/>
    <w:unhideWhenUsed/>
    <w:rsid w:val="00943162"/>
    <w:rPr>
      <w:sz w:val="16"/>
      <w:szCs w:val="16"/>
    </w:rPr>
  </w:style>
  <w:style w:type="paragraph" w:styleId="CommentText">
    <w:name w:val="annotation text"/>
    <w:basedOn w:val="Normal"/>
    <w:link w:val="CommentTextChar"/>
    <w:uiPriority w:val="99"/>
    <w:unhideWhenUsed/>
    <w:rsid w:val="00943162"/>
    <w:pPr>
      <w:spacing w:line="240" w:lineRule="auto"/>
    </w:pPr>
    <w:rPr>
      <w:sz w:val="20"/>
      <w:szCs w:val="20"/>
    </w:rPr>
  </w:style>
  <w:style w:type="character" w:customStyle="1" w:styleId="CommentTextChar">
    <w:name w:val="Comment Text Char"/>
    <w:basedOn w:val="DefaultParagraphFont"/>
    <w:link w:val="CommentText"/>
    <w:uiPriority w:val="99"/>
    <w:rsid w:val="00943162"/>
    <w:rPr>
      <w:sz w:val="20"/>
      <w:szCs w:val="20"/>
    </w:rPr>
  </w:style>
  <w:style w:type="paragraph" w:styleId="CommentSubject">
    <w:name w:val="annotation subject"/>
    <w:basedOn w:val="CommentText"/>
    <w:next w:val="CommentText"/>
    <w:link w:val="CommentSubjectChar"/>
    <w:uiPriority w:val="99"/>
    <w:semiHidden/>
    <w:unhideWhenUsed/>
    <w:rsid w:val="00943162"/>
    <w:rPr>
      <w:b/>
      <w:bCs/>
    </w:rPr>
  </w:style>
  <w:style w:type="character" w:customStyle="1" w:styleId="CommentSubjectChar">
    <w:name w:val="Comment Subject Char"/>
    <w:basedOn w:val="CommentTextChar"/>
    <w:link w:val="CommentSubject"/>
    <w:uiPriority w:val="99"/>
    <w:semiHidden/>
    <w:rsid w:val="009431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8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casa.org" TargetMode="External"/><Relationship Id="rId13" Type="http://schemas.openxmlformats.org/officeDocument/2006/relationships/hyperlink" Target="https://www.marylandattorneygeneral.gov/Pages/Groups/2019_SAEK_Committee_Annual_Report.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occp.maryland.gov/program-for-preventing-human-immunodeficiency-virus-hiv-infection-for-rape-victim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ccp.maryland.gov/victims/saru/" TargetMode="External"/><Relationship Id="rId5" Type="http://schemas.openxmlformats.org/officeDocument/2006/relationships/webSettings" Target="webSettings.xml"/><Relationship Id="rId15" Type="http://schemas.openxmlformats.org/officeDocument/2006/relationships/hyperlink" Target="https://www.marylandattorneygeneral.gov/Pages/Groups/010421_SAEK_Committee_2021_Report.pdf" TargetMode="External"/><Relationship Id="rId10" Type="http://schemas.openxmlformats.org/officeDocument/2006/relationships/hyperlink" Target="https://www.ojp.gov/pdffiles1/ovw/241903.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llaborate@mcasa.org" TargetMode="External"/><Relationship Id="rId14" Type="http://schemas.openxmlformats.org/officeDocument/2006/relationships/hyperlink" Target="https://www.marylandattorneygeneral.gov/Pages/Groups/123019_SAEK_Committee_2020_Report.pdf"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007E8-FCB9-47AE-921E-22A6C7E51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1894</Words>
  <Characters>10796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jessick</dc:creator>
  <cp:keywords/>
  <dc:description/>
  <cp:lastModifiedBy>Rachel</cp:lastModifiedBy>
  <cp:revision>2</cp:revision>
  <dcterms:created xsi:type="dcterms:W3CDTF">2021-05-28T20:15:00Z</dcterms:created>
  <dcterms:modified xsi:type="dcterms:W3CDTF">2021-05-28T20:15:00Z</dcterms:modified>
</cp:coreProperties>
</file>